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afterAutospacing="0" w:line="520" w:lineRule="exact"/>
        <w:ind w:firstLine="883" w:firstLineChars="200"/>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eastAsia="zh-CN"/>
        </w:rPr>
      </w:pPr>
      <w:r>
        <w:rPr>
          <w:rFonts w:hint="eastAsia" w:ascii="方正小标宋简体" w:hAnsi="方正小标宋简体" w:eastAsia="方正小标宋简体" w:cs="方正小标宋简体"/>
          <w:i w:val="0"/>
          <w:iCs w:val="0"/>
          <w:caps w:val="0"/>
          <w:spacing w:val="0"/>
          <w:sz w:val="44"/>
          <w:szCs w:val="44"/>
          <w:shd w:val="clear" w:fill="FFFFFF"/>
        </w:rPr>
        <w:t>关于Birkenstock US BidCo,Inc.海外</w:t>
      </w:r>
      <w:r>
        <w:rPr>
          <w:rFonts w:hint="eastAsia" w:ascii="方正小标宋简体" w:hAnsi="方正小标宋简体" w:eastAsia="方正小标宋简体" w:cs="方正小标宋简体"/>
          <w:i w:val="0"/>
          <w:iCs w:val="0"/>
          <w:caps w:val="0"/>
          <w:spacing w:val="0"/>
          <w:sz w:val="44"/>
          <w:szCs w:val="44"/>
          <w:shd w:val="clear" w:fill="FFFFFF"/>
          <w:lang w:eastAsia="zh-CN"/>
        </w:rPr>
        <w:t>知识产权</w:t>
      </w:r>
      <w:r>
        <w:rPr>
          <w:rFonts w:hint="eastAsia" w:ascii="方正小标宋简体" w:hAnsi="方正小标宋简体" w:eastAsia="方正小标宋简体" w:cs="方正小标宋简体"/>
          <w:i w:val="0"/>
          <w:iCs w:val="0"/>
          <w:caps w:val="0"/>
          <w:spacing w:val="0"/>
          <w:sz w:val="44"/>
          <w:szCs w:val="44"/>
          <w:shd w:val="clear" w:fill="FFFFFF"/>
        </w:rPr>
        <w:t>纠纷的风险</w:t>
      </w:r>
      <w:r>
        <w:rPr>
          <w:rFonts w:hint="eastAsia" w:ascii="方正小标宋简体" w:hAnsi="方正小标宋简体" w:eastAsia="方正小标宋简体" w:cs="方正小标宋简体"/>
          <w:i w:val="0"/>
          <w:iCs w:val="0"/>
          <w:caps w:val="0"/>
          <w:spacing w:val="0"/>
          <w:sz w:val="44"/>
          <w:szCs w:val="44"/>
          <w:shd w:val="clear" w:fill="FFFFFF"/>
          <w:lang w:eastAsia="zh-CN"/>
        </w:rPr>
        <w:t>提示</w:t>
      </w:r>
    </w:p>
    <w:p>
      <w:pPr>
        <w:keepNext w:val="0"/>
        <w:keepLines w:val="0"/>
        <w:pageBreakBefore w:val="0"/>
        <w:widowControl/>
        <w:suppressLineNumbers w:val="0"/>
        <w:kinsoku/>
        <w:wordWrap w:val="0"/>
        <w:overflowPunct/>
        <w:topLinePunct w:val="0"/>
        <w:autoSpaceDE/>
        <w:autoSpaceDN/>
        <w:bidi w:val="0"/>
        <w:adjustRightInd/>
        <w:snapToGrid/>
        <w:spacing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val="0"/>
        <w:overflowPunct/>
        <w:topLinePunct w:val="0"/>
        <w:autoSpaceDE/>
        <w:autoSpaceDN/>
        <w:bidi w:val="0"/>
        <w:adjustRightInd/>
        <w:snapToGrid/>
        <w:spacing w:before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2025年8月，Birkenstock US BidCo,Inc.（下简称“Birkenstock”）在美国伊利诺伊州北区联邦法院提起商标侵权诉讼，此案涉及Birkenstock起诉众多未具名的合伙企业和非法人团体，指控其通过电子商务商店销售假冒Birkenstock产品。案件后续可能进入 TRO 临时冻结流程。</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黑体" w:hAnsi="黑体" w:eastAsia="黑体" w:cs="黑体"/>
          <w:i w:val="0"/>
          <w:iCs w:val="0"/>
          <w:caps w:val="0"/>
          <w:color w:val="404040"/>
          <w:spacing w:val="0"/>
          <w:sz w:val="32"/>
          <w:szCs w:val="32"/>
          <w:shd w:val="clear" w:fill="FFFFFF"/>
          <w:lang w:val="en-US" w:eastAsia="zh-CN"/>
        </w:rPr>
      </w:pPr>
      <w:r>
        <w:rPr>
          <w:rFonts w:hint="eastAsia" w:ascii="黑体" w:hAnsi="黑体" w:eastAsia="黑体" w:cs="黑体"/>
          <w:i w:val="0"/>
          <w:iCs w:val="0"/>
          <w:caps w:val="0"/>
          <w:color w:val="404040"/>
          <w:spacing w:val="0"/>
          <w:sz w:val="32"/>
          <w:szCs w:val="32"/>
          <w:shd w:val="clear" w:fill="FFFFFF"/>
          <w:lang w:val="en-US" w:eastAsia="zh-CN"/>
        </w:rPr>
        <w:t>案件基本信息</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司法辖区：美国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受理法院：</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"https://law.lexmachina.com/court/ilnd"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N.D.</w:t>
      </w:r>
      <w:r>
        <w:rPr>
          <w:rFonts w:hint="eastAsia" w:ascii="仿宋_GB2312" w:hAnsi="仿宋_GB2312" w:eastAsia="仿宋_GB2312" w:cs="仿宋_GB2312"/>
          <w:kern w:val="0"/>
          <w:sz w:val="32"/>
          <w:szCs w:val="32"/>
          <w:lang w:val="en-US" w:eastAsia="zh-CN" w:bidi="ar"/>
        </w:rPr>
        <w:t>Ill</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sz w:val="32"/>
          <w:szCs w:val="32"/>
          <w:lang w:val="en-US" w:eastAsia="zh-CN"/>
        </w:rPr>
        <w:t>(伊利诺伊北区联邦地区法院)</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诉讼名称：Birkenstock US BidCo, Inc. v. The Partnerships and Unincorporated Associations Identified on Schedule A</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案号：1:25-cv-09212</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案件类型：商标侵权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提交时间：2025年8月     </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黑体" w:hAnsi="黑体" w:eastAsia="黑体" w:cs="黑体"/>
          <w:i w:val="0"/>
          <w:iCs w:val="0"/>
          <w:caps w:val="0"/>
          <w:color w:val="404040"/>
          <w:spacing w:val="0"/>
          <w:sz w:val="32"/>
          <w:szCs w:val="32"/>
          <w:shd w:val="clear" w:fill="FFFFFF"/>
          <w:lang w:val="en-US" w:eastAsia="zh-CN"/>
        </w:rPr>
      </w:pPr>
      <w:r>
        <w:rPr>
          <w:rFonts w:hint="default" w:ascii="黑体" w:hAnsi="黑体" w:eastAsia="黑体" w:cs="黑体"/>
          <w:i w:val="0"/>
          <w:iCs w:val="0"/>
          <w:caps w:val="0"/>
          <w:color w:val="404040"/>
          <w:spacing w:val="0"/>
          <w:sz w:val="32"/>
          <w:szCs w:val="32"/>
          <w:shd w:val="clear" w:fill="FFFFFF"/>
          <w:lang w:val="en-US" w:eastAsia="zh-CN"/>
        </w:rPr>
        <w:t>Birkenstock</w:t>
      </w:r>
      <w:r>
        <w:rPr>
          <w:rFonts w:hint="eastAsia" w:ascii="黑体" w:hAnsi="黑体" w:eastAsia="黑体" w:cs="黑体"/>
          <w:i w:val="0"/>
          <w:iCs w:val="0"/>
          <w:caps w:val="0"/>
          <w:color w:val="404040"/>
          <w:spacing w:val="0"/>
          <w:sz w:val="32"/>
          <w:szCs w:val="32"/>
          <w:shd w:val="clear" w:fill="FFFFFF"/>
          <w:lang w:val="en-US" w:eastAsia="zh-CN"/>
        </w:rPr>
        <w:t>美国知识产权诉讼简介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是一个拥有数百年历史的德国鞋履品牌，自1966年进入美国市场，在美国市场销售包括亚利桑那(Arizona)、波士顿(Boston)、玛雅丽(Mayari)和巴克利(Buckley)等经典凉鞋与木底鞋款式。通过长期使用，其核心商标（如“BIRKENSTOCK”及产品款式名）具有极强的法律保护力度。 此外，</w:t>
      </w:r>
      <w:r>
        <w:rPr>
          <w:rFonts w:hint="default" w:ascii="仿宋_GB2312" w:hAnsi="仿宋_GB2312" w:eastAsia="仿宋_GB2312" w:cs="仿宋_GB2312"/>
          <w:b w:val="0"/>
          <w:bCs w:val="0"/>
          <w:sz w:val="32"/>
          <w:szCs w:val="32"/>
          <w:lang w:val="en-US" w:eastAsia="zh-CN"/>
        </w:rPr>
        <w:t>Birkenstock的鞋底（软木/乳胶层结构）、鞋床的弧度、以及鞋带的形状和设计，都在美国、欧盟等多个司法管辖区注册了外观设计专利（或称设计专利）。</w:t>
      </w:r>
      <w:r>
        <w:rPr>
          <w:rFonts w:hint="eastAsia" w:ascii="仿宋_GB2312" w:hAnsi="仿宋_GB2312" w:eastAsia="仿宋_GB2312" w:cs="仿宋_GB2312"/>
          <w:b w:val="0"/>
          <w:bCs w:val="0"/>
          <w:sz w:val="32"/>
          <w:szCs w:val="32"/>
          <w:lang w:val="en-US" w:eastAsia="zh-CN"/>
        </w:rPr>
        <w:t>因此</w:t>
      </w:r>
      <w:r>
        <w:rPr>
          <w:rFonts w:hint="default" w:ascii="仿宋_GB2312" w:hAnsi="仿宋_GB2312" w:eastAsia="仿宋_GB2312" w:cs="仿宋_GB2312"/>
          <w:b w:val="0"/>
          <w:bCs w:val="0"/>
          <w:sz w:val="32"/>
          <w:szCs w:val="32"/>
          <w:lang w:val="en-US" w:eastAsia="zh-CN"/>
        </w:rPr>
        <w:t>即使</w:t>
      </w:r>
      <w:r>
        <w:rPr>
          <w:rFonts w:hint="eastAsia" w:ascii="仿宋_GB2312" w:hAnsi="仿宋_GB2312" w:eastAsia="仿宋_GB2312" w:cs="仿宋_GB2312"/>
          <w:b w:val="0"/>
          <w:bCs w:val="0"/>
          <w:sz w:val="32"/>
          <w:szCs w:val="32"/>
          <w:lang w:val="en-US" w:eastAsia="zh-CN"/>
        </w:rPr>
        <w:t>卖方</w:t>
      </w:r>
      <w:r>
        <w:rPr>
          <w:rFonts w:hint="default" w:ascii="仿宋_GB2312" w:hAnsi="仿宋_GB2312" w:eastAsia="仿宋_GB2312" w:cs="仿宋_GB2312"/>
          <w:b w:val="0"/>
          <w:bCs w:val="0"/>
          <w:sz w:val="32"/>
          <w:szCs w:val="32"/>
          <w:lang w:val="en-US" w:eastAsia="zh-CN"/>
        </w:rPr>
        <w:t>产品不使用BIRKENSTOCK商标，但如果整体外观与已注册的设计高度相似，仍可能构成外观设计侵权。</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Birkenstock US BidCo, Inc.是Birkenstock品牌在美国的“法律外壳”和“运营前线”，用以管理 Birkenstock 品牌在美国的商标权、销售渠道和所有商业活动。</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Birkenstock商标及专利情况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楷体_GB2312" w:hAnsi="楷体_GB2312" w:eastAsia="楷体_GB2312" w:cs="楷体_GB2312"/>
          <w:b w:val="0"/>
          <w:bCs w:val="0"/>
          <w:sz w:val="32"/>
          <w:szCs w:val="32"/>
          <w:lang w:val="en-US" w:eastAsia="zh-CN"/>
        </w:rPr>
        <w:t>商标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Birkenstock 的商标体系涵盖文字商标（BIRKENSTOCK、BIRK、BIRKI’S 等）、图形商标（品牌标志、鞋底花纹、鞋型轮廓）、立体商标（鞋床形状、鞋带设计等）。所有核</w:t>
      </w:r>
      <w:bookmarkStart w:id="0" w:name="_GoBack"/>
      <w:r>
        <w:rPr>
          <w:rFonts w:hint="eastAsia" w:ascii="仿宋_GB2312" w:hAnsi="仿宋_GB2312" w:eastAsia="仿宋_GB2312" w:cs="仿宋_GB2312"/>
          <w:b w:val="0"/>
          <w:bCs w:val="0"/>
          <w:sz w:val="32"/>
          <w:szCs w:val="32"/>
          <w:lang w:val="en-US" w:eastAsia="zh-CN"/>
        </w:rPr>
        <w:t>心商标都在美国专利商标局进行了联邦注册，获得了在全美</w:t>
      </w:r>
      <w:bookmarkEnd w:id="0"/>
      <w:r>
        <w:rPr>
          <w:rFonts w:hint="eastAsia" w:ascii="仿宋_GB2312" w:hAnsi="仿宋_GB2312" w:eastAsia="仿宋_GB2312" w:cs="仿宋_GB2312"/>
          <w:b w:val="0"/>
          <w:bCs w:val="0"/>
          <w:sz w:val="32"/>
          <w:szCs w:val="32"/>
          <w:lang w:val="en-US" w:eastAsia="zh-CN"/>
        </w:rPr>
        <w:t>范围内的排他性使用权。</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商标注册不仅限于鞋类（第25类），还延伸到了服装（第25类）、皮革制品（第18类）、零售服务（第35类）、甚至护肤品（第3类，因其有护手霜等产品）等多个领域，构建了全面</w:t>
      </w:r>
      <w:r>
        <w:rPr>
          <w:rFonts w:hint="eastAsia" w:ascii="仿宋_GB2312" w:hAnsi="仿宋_GB2312" w:eastAsia="仿宋_GB2312" w:cs="仿宋_GB2312"/>
          <w:b w:val="0"/>
          <w:bCs w:val="0"/>
          <w:sz w:val="32"/>
          <w:szCs w:val="32"/>
          <w:lang w:val="en-US" w:eastAsia="zh-CN"/>
        </w:rPr>
        <w:t>立体</w:t>
      </w:r>
      <w:r>
        <w:rPr>
          <w:rFonts w:hint="default" w:ascii="仿宋_GB2312" w:hAnsi="仿宋_GB2312" w:eastAsia="仿宋_GB2312" w:cs="仿宋_GB2312"/>
          <w:b w:val="0"/>
          <w:bCs w:val="0"/>
          <w:sz w:val="32"/>
          <w:szCs w:val="32"/>
          <w:lang w:val="en-US" w:eastAsia="zh-CN"/>
        </w:rPr>
        <w:t>的保护网。</w:t>
      </w:r>
      <w:r>
        <w:rPr>
          <w:rFonts w:hint="eastAsia" w:ascii="仿宋_GB2312" w:hAnsi="仿宋_GB2312" w:eastAsia="仿宋_GB2312" w:cs="仿宋_GB2312"/>
          <w:b w:val="0"/>
          <w:bCs w:val="0"/>
          <w:sz w:val="32"/>
          <w:szCs w:val="32"/>
          <w:lang w:val="en-US" w:eastAsia="zh-CN"/>
        </w:rPr>
        <w:t>核心商标列表如下：</w:t>
      </w:r>
    </w:p>
    <w:tbl>
      <w:tblPr>
        <w:tblStyle w:val="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45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bCs/>
                <w:color w:val="000000"/>
                <w:kern w:val="0"/>
                <w:sz w:val="28"/>
                <w:szCs w:val="28"/>
                <w:lang w:val="en-US" w:eastAsia="zh-CN" w:bidi="ar"/>
              </w:rPr>
              <w:t>注册号</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562" w:firstLineChars="200"/>
              <w:jc w:val="both"/>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cstheme="minorEastAsia"/>
                <w:b/>
                <w:bCs/>
                <w:color w:val="000000"/>
                <w:kern w:val="0"/>
                <w:sz w:val="28"/>
                <w:szCs w:val="28"/>
                <w:lang w:val="en-US" w:eastAsia="zh-CN" w:bidi="ar"/>
              </w:rPr>
              <w:t>注册类别</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562" w:firstLineChars="200"/>
              <w:jc w:val="center"/>
              <w:textAlignment w:val="auto"/>
              <w:rPr>
                <w:rFonts w:hint="eastAsia" w:asciiTheme="minorEastAsia" w:hAnsiTheme="minorEastAsia" w:eastAsiaTheme="minorEastAsia" w:cstheme="minorEastAsia"/>
                <w:b w:val="0"/>
                <w:bCs w:val="0"/>
                <w:sz w:val="28"/>
                <w:szCs w:val="28"/>
                <w:vertAlign w:val="baseline"/>
                <w:lang w:val="en-US" w:eastAsia="zh-CN"/>
              </w:rPr>
            </w:pPr>
            <w:r>
              <w:rPr>
                <w:rFonts w:hint="eastAsia" w:asciiTheme="minorEastAsia" w:hAnsiTheme="minorEastAsia" w:cstheme="minorEastAsia"/>
                <w:b/>
                <w:bCs/>
                <w:color w:val="000000"/>
                <w:kern w:val="0"/>
                <w:sz w:val="28"/>
                <w:szCs w:val="28"/>
                <w:lang w:val="en-US" w:eastAsia="zh-CN" w:bidi="ar"/>
              </w:rPr>
              <w:t>商标图样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4,975,295</w:t>
            </w:r>
          </w:p>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1,037,893</w:t>
            </w:r>
          </w:p>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3,105,607</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Int.Cl.:2,3,5,8,9,10,11,14,16,18,19,20,21,24,25,26,27,28,29,30,31,32,35,39,41,43,44,45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BIRKENSTOCK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7,051,395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BOSTON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6,549,975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ARIZONA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6,144,197</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3,18,25,35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6,655,623</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MAYARI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6,391,953</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ZÜRICH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6,965,957</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MADRID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6,303,462</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GIZEH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2,914,562</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PAPILLIO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1,951,691</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BETULA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2,590,411</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7,088,735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17,24</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1,708,342</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1,967,015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6,578,328</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18,24,25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BIRKIBUC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6,585,417</w:t>
            </w:r>
          </w:p>
          <w:p>
            <w:pPr>
              <w:keepNext w:val="0"/>
              <w:keepLines w:val="0"/>
              <w:pageBreakBefore w:val="0"/>
              <w:widowControl/>
              <w:suppressLineNumbers w:val="0"/>
              <w:kinsoku/>
              <w:wordWrap w:val="0"/>
              <w:overflowPunct/>
              <w:topLinePunct w:val="0"/>
              <w:autoSpaceDE/>
              <w:autoSpaceDN/>
              <w:bidi w:val="0"/>
              <w:adjustRightInd/>
              <w:snapToGrid/>
              <w:spacing w:beforeAutospacing="0" w:line="320" w:lineRule="exact"/>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4,017,776</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BIRKO-FLOR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2,857,185</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59264" behindDoc="0" locked="0" layoutInCell="1" allowOverlap="1">
                  <wp:simplePos x="0" y="0"/>
                  <wp:positionH relativeFrom="column">
                    <wp:posOffset>488950</wp:posOffset>
                  </wp:positionH>
                  <wp:positionV relativeFrom="paragraph">
                    <wp:posOffset>29210</wp:posOffset>
                  </wp:positionV>
                  <wp:extent cx="1528445" cy="401320"/>
                  <wp:effectExtent l="0" t="0" r="14605"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28445" cy="4013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4,133,676</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10,25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0288" behindDoc="0" locked="0" layoutInCell="1" allowOverlap="1">
                  <wp:simplePos x="0" y="0"/>
                  <wp:positionH relativeFrom="column">
                    <wp:posOffset>727075</wp:posOffset>
                  </wp:positionH>
                  <wp:positionV relativeFrom="paragraph">
                    <wp:posOffset>83820</wp:posOffset>
                  </wp:positionV>
                  <wp:extent cx="1137920" cy="411480"/>
                  <wp:effectExtent l="0" t="0" r="508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37920" cy="4114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2,600,060</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1312" behindDoc="0" locked="0" layoutInCell="1" allowOverlap="1">
                  <wp:simplePos x="0" y="0"/>
                  <wp:positionH relativeFrom="column">
                    <wp:posOffset>869315</wp:posOffset>
                  </wp:positionH>
                  <wp:positionV relativeFrom="paragraph">
                    <wp:posOffset>52705</wp:posOffset>
                  </wp:positionV>
                  <wp:extent cx="769620" cy="769620"/>
                  <wp:effectExtent l="0" t="0" r="11430" b="1143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69620" cy="7696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5,790,186</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2,3,5,9,10,19,20,25,27,43</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2336" behindDoc="0" locked="0" layoutInCell="1" allowOverlap="1">
                  <wp:simplePos x="0" y="0"/>
                  <wp:positionH relativeFrom="column">
                    <wp:posOffset>761365</wp:posOffset>
                  </wp:positionH>
                  <wp:positionV relativeFrom="paragraph">
                    <wp:posOffset>77470</wp:posOffset>
                  </wp:positionV>
                  <wp:extent cx="890905" cy="890905"/>
                  <wp:effectExtent l="0" t="0" r="4445" b="44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90905" cy="8909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1,516,450</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3360" behindDoc="0" locked="0" layoutInCell="1" allowOverlap="1">
                  <wp:simplePos x="0" y="0"/>
                  <wp:positionH relativeFrom="column">
                    <wp:posOffset>986155</wp:posOffset>
                  </wp:positionH>
                  <wp:positionV relativeFrom="paragraph">
                    <wp:posOffset>41275</wp:posOffset>
                  </wp:positionV>
                  <wp:extent cx="464820" cy="1086485"/>
                  <wp:effectExtent l="0" t="0" r="11430" b="184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64820" cy="10864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1,519,901</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20" w:firstLineChars="200"/>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4384" behindDoc="0" locked="0" layoutInCell="1" allowOverlap="1">
                  <wp:simplePos x="0" y="0"/>
                  <wp:positionH relativeFrom="column">
                    <wp:posOffset>914400</wp:posOffset>
                  </wp:positionH>
                  <wp:positionV relativeFrom="paragraph">
                    <wp:posOffset>123825</wp:posOffset>
                  </wp:positionV>
                  <wp:extent cx="383540" cy="986790"/>
                  <wp:effectExtent l="0" t="0" r="16510"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383540" cy="9867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6"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both"/>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5,624,670</w:t>
            </w:r>
          </w:p>
        </w:tc>
        <w:tc>
          <w:tcPr>
            <w:tcW w:w="2457"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480" w:firstLineChars="200"/>
              <w:jc w:val="both"/>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color w:val="000000"/>
                <w:kern w:val="0"/>
                <w:sz w:val="24"/>
                <w:szCs w:val="24"/>
                <w:lang w:val="en-US" w:eastAsia="zh-CN" w:bidi="ar"/>
              </w:rPr>
              <w:t>Int.Cl.:</w:t>
            </w:r>
            <w:r>
              <w:rPr>
                <w:rFonts w:hint="eastAsia" w:asciiTheme="minorEastAsia" w:hAnsiTheme="minorEastAsia" w:cstheme="minorEastAsia"/>
                <w:color w:val="000000"/>
                <w:kern w:val="0"/>
                <w:sz w:val="24"/>
                <w:szCs w:val="24"/>
                <w:lang w:val="en-US" w:eastAsia="zh-CN" w:bidi="ar"/>
              </w:rPr>
              <w:t>10,18,25</w:t>
            </w:r>
          </w:p>
        </w:tc>
        <w:tc>
          <w:tcPr>
            <w:tcW w:w="3828"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center"/>
              <w:textAlignment w:val="auto"/>
              <w:rPr>
                <w:rFonts w:hint="eastAsia" w:asciiTheme="minorEastAsia" w:hAnsiTheme="minorEastAsia" w:eastAsiaTheme="minorEastAsia" w:cstheme="minorEastAsia"/>
                <w:b w:val="0"/>
                <w:bCs w:val="0"/>
                <w:sz w:val="32"/>
                <w:szCs w:val="32"/>
                <w:vertAlign w:val="baseline"/>
                <w:lang w:val="en-US" w:eastAsia="zh-CN"/>
              </w:rPr>
            </w:pPr>
            <w:r>
              <w:rPr>
                <w:rFonts w:hint="eastAsia" w:asciiTheme="minorEastAsia" w:hAnsiTheme="minorEastAsia" w:eastAsiaTheme="minorEastAsia" w:cstheme="minorEastAsia"/>
              </w:rPr>
              <w:drawing>
                <wp:anchor distT="0" distB="0" distL="114300" distR="114300" simplePos="0" relativeHeight="251665408" behindDoc="0" locked="0" layoutInCell="1" allowOverlap="1">
                  <wp:simplePos x="0" y="0"/>
                  <wp:positionH relativeFrom="column">
                    <wp:posOffset>784225</wp:posOffset>
                  </wp:positionH>
                  <wp:positionV relativeFrom="paragraph">
                    <wp:posOffset>276225</wp:posOffset>
                  </wp:positionV>
                  <wp:extent cx="589915" cy="652145"/>
                  <wp:effectExtent l="0" t="0" r="635" b="1460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89915" cy="652145"/>
                          </a:xfrm>
                          <a:prstGeom prst="rect">
                            <a:avLst/>
                          </a:prstGeom>
                          <a:noFill/>
                          <a:ln>
                            <a:noFill/>
                          </a:ln>
                        </pic:spPr>
                      </pic:pic>
                    </a:graphicData>
                  </a:graphic>
                </wp:anchor>
              </w:drawing>
            </w: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2.专利</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Birkenstock为其几乎所有经典款式（如Arizona, Boston, Gizeh, Madrid等）在不同国家和地区申请外观设计专利。例如，Arizona凉鞋的双搭扣布局、Boston木屐的圆润鞋头和宽大鞋身，都拥有对应的外观设计专利。</w:t>
      </w:r>
      <w:r>
        <w:rPr>
          <w:rFonts w:hint="default" w:ascii="仿宋_GB2312" w:hAnsi="仿宋_GB2312" w:eastAsia="仿宋_GB2312" w:cs="仿宋_GB2312"/>
          <w:b w:val="0"/>
          <w:bCs w:val="0"/>
          <w:sz w:val="32"/>
          <w:szCs w:val="32"/>
          <w:highlight w:val="none"/>
          <w:lang w:val="en-US" w:eastAsia="zh-CN"/>
        </w:rPr>
        <w:t>通过外观专利（Design Patents）保护以下核心设计特征：鞋床轮廓</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鞋底纹路</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带扣系统</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整体鞋型。</w:t>
      </w:r>
      <w:r>
        <w:rPr>
          <w:rFonts w:hint="eastAsia" w:ascii="仿宋_GB2312" w:hAnsi="仿宋_GB2312" w:eastAsia="仿宋_GB2312" w:cs="仿宋_GB2312"/>
          <w:b w:val="0"/>
          <w:bCs w:val="0"/>
          <w:sz w:val="32"/>
          <w:szCs w:val="32"/>
          <w:highlight w:val="none"/>
          <w:lang w:val="en-US" w:eastAsia="zh-CN"/>
        </w:rPr>
        <w:t>部分</w:t>
      </w:r>
      <w:r>
        <w:rPr>
          <w:rFonts w:hint="eastAsia" w:ascii="仿宋_GB2312" w:hAnsi="仿宋_GB2312" w:eastAsia="仿宋_GB2312" w:cs="仿宋_GB2312"/>
          <w:b w:val="0"/>
          <w:bCs w:val="0"/>
          <w:sz w:val="32"/>
          <w:szCs w:val="32"/>
          <w:lang w:val="en-US" w:eastAsia="zh-CN"/>
        </w:rPr>
        <w:t>外观专利列表如下：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jc w:val="center"/>
              <w:textAlignment w:val="auto"/>
              <w:rPr>
                <w:rFonts w:hint="default"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bCs/>
                <w:color w:val="000000"/>
                <w:kern w:val="0"/>
                <w:sz w:val="28"/>
                <w:szCs w:val="28"/>
                <w:lang w:val="en-US" w:eastAsia="zh-CN" w:bidi="ar"/>
              </w:rPr>
              <w:t>注册号</w:t>
            </w:r>
          </w:p>
        </w:tc>
        <w:tc>
          <w:tcPr>
            <w:tcW w:w="3694"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jc w:val="center"/>
              <w:textAlignment w:val="auto"/>
              <w:rPr>
                <w:rFonts w:hint="default" w:asciiTheme="minorEastAsia" w:hAnsiTheme="minorEastAsia" w:eastAsiaTheme="minorEastAsia" w:cstheme="minorEastAsia"/>
                <w:b w:val="0"/>
                <w:bCs w:val="0"/>
                <w:kern w:val="2"/>
                <w:sz w:val="28"/>
                <w:szCs w:val="28"/>
                <w:vertAlign w:val="baseline"/>
                <w:lang w:val="en-US" w:eastAsia="zh-CN" w:bidi="ar-SA"/>
              </w:rPr>
            </w:pPr>
            <w:r>
              <w:rPr>
                <w:rFonts w:hint="eastAsia" w:asciiTheme="minorEastAsia" w:hAnsiTheme="minorEastAsia" w:cstheme="minorEastAsia"/>
                <w:b/>
                <w:bCs/>
                <w:color w:val="000000"/>
                <w:kern w:val="0"/>
                <w:sz w:val="28"/>
                <w:szCs w:val="28"/>
                <w:lang w:val="en-US" w:eastAsia="zh-CN" w:bidi="ar"/>
              </w:rPr>
              <w:t>外观图样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D984,785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67456" behindDoc="0" locked="0" layoutInCell="1" allowOverlap="1">
                  <wp:simplePos x="0" y="0"/>
                  <wp:positionH relativeFrom="column">
                    <wp:posOffset>553085</wp:posOffset>
                  </wp:positionH>
                  <wp:positionV relativeFrom="paragraph">
                    <wp:posOffset>144780</wp:posOffset>
                  </wp:positionV>
                  <wp:extent cx="1177925" cy="605790"/>
                  <wp:effectExtent l="0" t="0" r="3175" b="3810"/>
                  <wp:wrapTopAndBottom/>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1"/>
                          <a:stretch>
                            <a:fillRect/>
                          </a:stretch>
                        </pic:blipFill>
                        <pic:spPr>
                          <a:xfrm>
                            <a:off x="0" y="0"/>
                            <a:ext cx="1177925" cy="6057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D987,946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68480" behindDoc="0" locked="0" layoutInCell="1" allowOverlap="1">
                  <wp:simplePos x="0" y="0"/>
                  <wp:positionH relativeFrom="column">
                    <wp:posOffset>627380</wp:posOffset>
                  </wp:positionH>
                  <wp:positionV relativeFrom="paragraph">
                    <wp:posOffset>177800</wp:posOffset>
                  </wp:positionV>
                  <wp:extent cx="1049655" cy="570865"/>
                  <wp:effectExtent l="0" t="0" r="17145" b="635"/>
                  <wp:wrapTopAndBottom/>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2"/>
                          <a:stretch>
                            <a:fillRect/>
                          </a:stretch>
                        </pic:blipFill>
                        <pic:spPr>
                          <a:xfrm>
                            <a:off x="0" y="0"/>
                            <a:ext cx="1049655" cy="57086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D1,012,444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69504" behindDoc="0" locked="0" layoutInCell="1" allowOverlap="1">
                  <wp:simplePos x="0" y="0"/>
                  <wp:positionH relativeFrom="column">
                    <wp:posOffset>552450</wp:posOffset>
                  </wp:positionH>
                  <wp:positionV relativeFrom="paragraph">
                    <wp:posOffset>135255</wp:posOffset>
                  </wp:positionV>
                  <wp:extent cx="1176020" cy="628015"/>
                  <wp:effectExtent l="0" t="0" r="5080" b="635"/>
                  <wp:wrapTopAndBottom/>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3"/>
                          <a:stretch>
                            <a:fillRect/>
                          </a:stretch>
                        </pic:blipFill>
                        <pic:spPr>
                          <a:xfrm>
                            <a:off x="0" y="0"/>
                            <a:ext cx="1176020" cy="6280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D1,013,334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70528" behindDoc="0" locked="0" layoutInCell="1" allowOverlap="1">
                  <wp:simplePos x="0" y="0"/>
                  <wp:positionH relativeFrom="column">
                    <wp:posOffset>515620</wp:posOffset>
                  </wp:positionH>
                  <wp:positionV relativeFrom="paragraph">
                    <wp:posOffset>175895</wp:posOffset>
                  </wp:positionV>
                  <wp:extent cx="1147445" cy="662305"/>
                  <wp:effectExtent l="0" t="0" r="14605" b="4445"/>
                  <wp:wrapTopAndBottom/>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4"/>
                          <a:stretch>
                            <a:fillRect/>
                          </a:stretch>
                        </pic:blipFill>
                        <pic:spPr>
                          <a:xfrm>
                            <a:off x="0" y="0"/>
                            <a:ext cx="1147445" cy="6623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default" w:asciiTheme="minorEastAsia" w:hAnsiTheme="minorEastAsia" w:eastAsiaTheme="minorEastAsia" w:cstheme="minorEastAsia"/>
                <w:color w:val="000000"/>
                <w:kern w:val="0"/>
                <w:sz w:val="24"/>
                <w:szCs w:val="24"/>
                <w:lang w:val="en-US" w:eastAsia="zh-CN" w:bidi="ar"/>
              </w:rPr>
              <w:t>D919,257 S</w:t>
            </w:r>
          </w:p>
        </w:tc>
        <w:tc>
          <w:tcPr>
            <w:tcW w:w="3694" w:type="dxa"/>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default" w:ascii="仿宋_GB2312" w:hAnsi="仿宋_GB2312" w:eastAsia="仿宋_GB2312" w:cs="仿宋_GB2312"/>
                <w:b w:val="0"/>
                <w:bCs w:val="0"/>
                <w:sz w:val="32"/>
                <w:szCs w:val="32"/>
                <w:highlight w:val="none"/>
                <w:vertAlign w:val="baseline"/>
                <w:lang w:val="en-US" w:eastAsia="zh-CN"/>
              </w:rPr>
            </w:pPr>
            <w:r>
              <w:drawing>
                <wp:anchor distT="0" distB="0" distL="114300" distR="114300" simplePos="0" relativeHeight="251671552" behindDoc="0" locked="0" layoutInCell="1" allowOverlap="1">
                  <wp:simplePos x="0" y="0"/>
                  <wp:positionH relativeFrom="column">
                    <wp:posOffset>436245</wp:posOffset>
                  </wp:positionH>
                  <wp:positionV relativeFrom="paragraph">
                    <wp:posOffset>96520</wp:posOffset>
                  </wp:positionV>
                  <wp:extent cx="1348105" cy="901700"/>
                  <wp:effectExtent l="0" t="0" r="4445" b="12700"/>
                  <wp:wrapTopAndBottom/>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5"/>
                          <a:stretch>
                            <a:fillRect/>
                          </a:stretch>
                        </pic:blipFill>
                        <pic:spPr>
                          <a:xfrm>
                            <a:off x="0" y="0"/>
                            <a:ext cx="1348105" cy="901700"/>
                          </a:xfrm>
                          <a:prstGeom prst="rect">
                            <a:avLst/>
                          </a:prstGeom>
                          <a:noFill/>
                          <a:ln>
                            <a:noFill/>
                          </a:ln>
                        </pic:spPr>
                      </pic:pic>
                    </a:graphicData>
                  </a:graphic>
                </wp:anchor>
              </w:drawing>
            </w:r>
          </w:p>
        </w:tc>
      </w:tr>
    </w:tbl>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基于</w:t>
      </w:r>
      <w:r>
        <w:rPr>
          <w:rFonts w:hint="default" w:ascii="仿宋_GB2312" w:hAnsi="仿宋_GB2312" w:eastAsia="仿宋_GB2312" w:cs="仿宋_GB2312"/>
          <w:b w:val="0"/>
          <w:bCs w:val="0"/>
          <w:sz w:val="32"/>
          <w:szCs w:val="32"/>
          <w:highlight w:val="none"/>
          <w:lang w:val="en-US" w:eastAsia="zh-CN"/>
        </w:rPr>
        <w:t>Birkenstock在全球范围构建</w:t>
      </w:r>
      <w:r>
        <w:rPr>
          <w:rFonts w:hint="eastAsia" w:ascii="仿宋_GB2312" w:hAnsi="仿宋_GB2312" w:eastAsia="仿宋_GB2312" w:cs="仿宋_GB2312"/>
          <w:b w:val="0"/>
          <w:bCs w:val="0"/>
          <w:sz w:val="32"/>
          <w:szCs w:val="32"/>
          <w:highlight w:val="none"/>
          <w:lang w:val="en-US" w:eastAsia="zh-CN"/>
        </w:rPr>
        <w:t>的</w:t>
      </w:r>
      <w:r>
        <w:rPr>
          <w:rFonts w:hint="default" w:ascii="仿宋_GB2312" w:hAnsi="仿宋_GB2312" w:eastAsia="仿宋_GB2312" w:cs="仿宋_GB2312"/>
          <w:b w:val="0"/>
          <w:bCs w:val="0"/>
          <w:sz w:val="32"/>
          <w:szCs w:val="32"/>
          <w:highlight w:val="none"/>
          <w:lang w:val="en-US" w:eastAsia="zh-CN"/>
        </w:rPr>
        <w:t>多层次、交叉保护的知识产权体系。当起诉仿冒者时，可以同时主张</w:t>
      </w:r>
      <w:r>
        <w:rPr>
          <w:rFonts w:hint="eastAsia" w:ascii="仿宋_GB2312" w:hAnsi="仿宋_GB2312" w:eastAsia="仿宋_GB2312" w:cs="仿宋_GB2312"/>
          <w:b w:val="0"/>
          <w:bCs w:val="0"/>
          <w:sz w:val="32"/>
          <w:szCs w:val="32"/>
          <w:highlight w:val="none"/>
          <w:lang w:val="en-US" w:eastAsia="zh-CN"/>
        </w:rPr>
        <w:t>多个权利，</w:t>
      </w:r>
      <w:r>
        <w:rPr>
          <w:rFonts w:hint="default" w:ascii="仿宋_GB2312" w:hAnsi="仿宋_GB2312" w:eastAsia="仿宋_GB2312" w:cs="仿宋_GB2312"/>
          <w:b w:val="0"/>
          <w:bCs w:val="0"/>
          <w:sz w:val="32"/>
          <w:szCs w:val="32"/>
          <w:highlight w:val="none"/>
          <w:lang w:val="en-US" w:eastAsia="zh-CN"/>
        </w:rPr>
        <w:t>这种组合拳式的指控，也大大提高了法院支持其诉求的可能性。</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315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知识产权类型</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保护核心</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具体例子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外观设计专利</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产品的具体造型和三维设计</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Buckley木屐的整体外观 (D919,257)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商标</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品牌的名称、Logo和标志性符号</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“BIRKENSTOCK” 文字、骨骼纹鞋底 (2,600,060)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商业外观</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产品的整体形象和感觉</w:t>
            </w:r>
          </w:p>
        </w:tc>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Arizona凉鞋、Boston木屐的整体视觉特征</w:t>
            </w:r>
          </w:p>
        </w:tc>
      </w:tr>
    </w:tbl>
    <w:p>
      <w:pPr>
        <w:keepNext w:val="0"/>
        <w:keepLines w:val="0"/>
        <w:pageBreakBefore w:val="0"/>
        <w:widowControl/>
        <w:suppressLineNumbers w:val="0"/>
        <w:kinsoku/>
        <w:wordWrap w:val="0"/>
        <w:overflowPunct/>
        <w:topLinePunct w:val="0"/>
        <w:autoSpaceDE/>
        <w:autoSpaceDN/>
        <w:bidi w:val="0"/>
        <w:adjustRightInd/>
        <w:snapToGrid/>
        <w:ind w:firstLine="2640" w:firstLineChars="11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图1 </w:t>
      </w:r>
      <w:r>
        <w:rPr>
          <w:rFonts w:hint="default" w:ascii="宋体" w:hAnsi="宋体" w:eastAsia="宋体" w:cs="宋体"/>
          <w:kern w:val="0"/>
          <w:sz w:val="24"/>
          <w:szCs w:val="24"/>
          <w:lang w:val="en-US" w:eastAsia="zh-CN" w:bidi="ar"/>
        </w:rPr>
        <w:t>Birkenstock</w:t>
      </w:r>
      <w:r>
        <w:rPr>
          <w:rFonts w:hint="eastAsia" w:ascii="宋体" w:hAnsi="宋体" w:eastAsia="宋体" w:cs="宋体"/>
          <w:kern w:val="0"/>
          <w:sz w:val="24"/>
          <w:szCs w:val="24"/>
          <w:lang w:val="en-US" w:eastAsia="zh-CN" w:bidi="ar"/>
        </w:rPr>
        <w:t>知识产权保护体系</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Birkenstock</w:t>
      </w:r>
      <w:r>
        <w:rPr>
          <w:rFonts w:hint="eastAsia" w:ascii="楷体_GB2312" w:hAnsi="楷体_GB2312" w:eastAsia="楷体_GB2312" w:cs="楷体_GB2312"/>
          <w:b w:val="0"/>
          <w:bCs w:val="0"/>
          <w:sz w:val="32"/>
          <w:szCs w:val="32"/>
          <w:lang w:val="en-US" w:eastAsia="zh-CN"/>
        </w:rPr>
        <w:t>美国知识产权诉讼趋势</w:t>
      </w:r>
    </w:p>
    <w:p>
      <w:pPr>
        <w:keepNext w:val="0"/>
        <w:keepLines w:val="0"/>
        <w:pageBreakBefore w:val="0"/>
        <w:widowControl/>
        <w:suppressLineNumbers w:val="0"/>
        <w:kinsoku/>
        <w:wordWrap w:val="0"/>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根据Lex-machina数据库检索结果，2023年以来，</w:t>
      </w: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在美国发起商标侵权诉讼21宗，专利诉讼1宗，诉讼呈持续高频态势，2025年1-8月已发起商标侵权诉讼12宗。</w:t>
      </w:r>
    </w:p>
    <w:p>
      <w:pPr>
        <w:keepNext w:val="0"/>
        <w:keepLines w:val="0"/>
        <w:pageBreakBefore w:val="0"/>
        <w:widowControl/>
        <w:suppressLineNumbers w:val="0"/>
        <w:kinsoku/>
        <w:wordWrap w:val="0"/>
        <w:overflowPunct/>
        <w:topLinePunct w:val="0"/>
        <w:autoSpaceDE/>
        <w:autoSpaceDN/>
        <w:bidi w:val="0"/>
        <w:adjustRightInd/>
        <w:snapToGrid/>
        <w:ind w:firstLine="480" w:firstLineChars="200"/>
        <w:jc w:val="both"/>
        <w:textAlignment w:val="auto"/>
      </w:pPr>
      <w:r>
        <w:rPr>
          <w:rFonts w:ascii="宋体" w:hAnsi="宋体" w:eastAsia="宋体" w:cs="宋体"/>
          <w:kern w:val="0"/>
          <w:sz w:val="24"/>
          <w:szCs w:val="24"/>
          <w:lang w:val="en-US" w:eastAsia="zh-CN" w:bidi="ar"/>
        </w:rPr>
        <w:drawing>
          <wp:inline distT="0" distB="0" distL="114300" distR="114300">
            <wp:extent cx="4990465" cy="2330450"/>
            <wp:effectExtent l="0" t="0" r="635" b="1270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6"/>
                    <a:stretch>
                      <a:fillRect/>
                    </a:stretch>
                  </pic:blipFill>
                  <pic:spPr>
                    <a:xfrm>
                      <a:off x="0" y="0"/>
                      <a:ext cx="4990465" cy="2330450"/>
                    </a:xfrm>
                    <a:prstGeom prst="rect">
                      <a:avLst/>
                    </a:prstGeom>
                    <a:noFill/>
                    <a:ln w="9525">
                      <a:noFill/>
                    </a:ln>
                  </pic:spPr>
                </pic:pic>
              </a:graphicData>
            </a:graphic>
          </wp:inline>
        </w:drawing>
      </w:r>
    </w:p>
    <w:p>
      <w:pPr>
        <w:keepNext w:val="0"/>
        <w:keepLines w:val="0"/>
        <w:pageBreakBefore w:val="0"/>
        <w:widowControl/>
        <w:suppressLineNumbers w:val="0"/>
        <w:kinsoku/>
        <w:wordWrap w:val="0"/>
        <w:overflowPunct/>
        <w:topLinePunct w:val="0"/>
        <w:autoSpaceDE/>
        <w:autoSpaceDN/>
        <w:bidi w:val="0"/>
        <w:adjustRightInd/>
        <w:snapToGrid/>
        <w:ind w:firstLine="480" w:firstLineChars="200"/>
        <w:jc w:val="center"/>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图</w:t>
      </w:r>
      <w:r>
        <w:rPr>
          <w:rFonts w:hint="eastAsia" w:ascii="宋体" w:hAnsi="宋体" w:eastAsia="宋体" w:cs="宋体"/>
          <w:kern w:val="0"/>
          <w:sz w:val="24"/>
          <w:szCs w:val="24"/>
          <w:lang w:val="en-US" w:eastAsia="zh-CN" w:bidi="ar"/>
        </w:rPr>
        <w:t xml:space="preserve">2 </w:t>
      </w:r>
      <w:r>
        <w:rPr>
          <w:rFonts w:hint="default" w:ascii="宋体" w:hAnsi="宋体" w:eastAsia="宋体" w:cs="宋体"/>
          <w:kern w:val="0"/>
          <w:sz w:val="24"/>
          <w:szCs w:val="24"/>
          <w:lang w:val="en-US" w:eastAsia="zh-CN" w:bidi="ar"/>
        </w:rPr>
        <w:t>Birkenstock</w:t>
      </w:r>
      <w:r>
        <w:rPr>
          <w:rFonts w:ascii="宋体" w:hAnsi="宋体" w:eastAsia="宋体" w:cs="宋体"/>
          <w:kern w:val="0"/>
          <w:sz w:val="24"/>
          <w:szCs w:val="24"/>
          <w:lang w:val="en-US" w:eastAsia="zh-CN" w:bidi="ar"/>
        </w:rPr>
        <w:t>美国知识产权侵权诉讼情况</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highlight w:val="none"/>
        </w:rPr>
      </w:pPr>
      <w:r>
        <w:rPr>
          <w:rFonts w:hint="eastAsia" w:ascii="仿宋_GB2312" w:hAnsi="仿宋_GB2312" w:eastAsia="仿宋_GB2312" w:cs="仿宋_GB2312"/>
          <w:b w:val="0"/>
          <w:bCs w:val="0"/>
          <w:sz w:val="32"/>
          <w:szCs w:val="32"/>
          <w:highlight w:val="none"/>
          <w:lang w:val="en-US" w:eastAsia="zh-CN"/>
        </w:rPr>
        <w:t>目前，已结案案件10件，其中缺席判决6件、和解结案4件，已结案案件的结案时长中位数（</w:t>
      </w:r>
      <w:r>
        <w:rPr>
          <w:rFonts w:hint="default" w:ascii="仿宋_GB2312" w:hAnsi="仿宋_GB2312" w:eastAsia="仿宋_GB2312" w:cs="仿宋_GB2312"/>
          <w:b w:val="0"/>
          <w:bCs w:val="0"/>
          <w:sz w:val="32"/>
          <w:szCs w:val="32"/>
          <w:highlight w:val="none"/>
          <w:lang w:val="en-US" w:eastAsia="zh-CN"/>
        </w:rPr>
        <w:t>审结案件用时排序的中间数，反映出结案用时的中等水平）为</w:t>
      </w:r>
      <w:r>
        <w:rPr>
          <w:rFonts w:hint="eastAsia" w:ascii="仿宋_GB2312" w:hAnsi="仿宋_GB2312" w:eastAsia="仿宋_GB2312" w:cs="仿宋_GB2312"/>
          <w:b w:val="0"/>
          <w:bCs w:val="0"/>
          <w:sz w:val="32"/>
          <w:szCs w:val="32"/>
          <w:highlight w:val="none"/>
          <w:lang w:val="en-US" w:eastAsia="zh-CN"/>
        </w:rPr>
        <w:t>84</w:t>
      </w:r>
      <w:r>
        <w:rPr>
          <w:rFonts w:hint="default" w:ascii="仿宋_GB2312" w:hAnsi="仿宋_GB2312" w:eastAsia="仿宋_GB2312" w:cs="仿宋_GB2312"/>
          <w:b w:val="0"/>
          <w:bCs w:val="0"/>
          <w:sz w:val="32"/>
          <w:szCs w:val="32"/>
          <w:highlight w:val="none"/>
          <w:lang w:val="en-US" w:eastAsia="zh-CN"/>
        </w:rPr>
        <w:t>天，</w:t>
      </w:r>
      <w:r>
        <w:rPr>
          <w:rFonts w:hint="eastAsia" w:ascii="仿宋_GB2312" w:hAnsi="仿宋_GB2312" w:eastAsia="仿宋_GB2312" w:cs="仿宋_GB2312"/>
          <w:b w:val="0"/>
          <w:bCs w:val="0"/>
          <w:sz w:val="32"/>
          <w:szCs w:val="32"/>
          <w:highlight w:val="none"/>
          <w:lang w:val="en-US" w:eastAsia="zh-CN"/>
        </w:rPr>
        <w:t>从诉讼结果看，</w:t>
      </w:r>
      <w:r>
        <w:rPr>
          <w:rFonts w:hint="default" w:ascii="仿宋_GB2312" w:hAnsi="仿宋_GB2312" w:eastAsia="仿宋_GB2312" w:cs="仿宋_GB2312"/>
          <w:b w:val="0"/>
          <w:bCs w:val="0"/>
          <w:sz w:val="32"/>
          <w:szCs w:val="32"/>
          <w:highlight w:val="none"/>
          <w:lang w:val="en-US" w:eastAsia="zh-CN"/>
        </w:rPr>
        <w:t>被诉企业若不积极应诉或协商和解，</w:t>
      </w:r>
      <w:r>
        <w:rPr>
          <w:rFonts w:hint="eastAsia" w:ascii="仿宋_GB2312" w:hAnsi="仿宋_GB2312" w:eastAsia="仿宋_GB2312" w:cs="仿宋_GB2312"/>
          <w:b w:val="0"/>
          <w:bCs w:val="0"/>
          <w:sz w:val="32"/>
          <w:szCs w:val="32"/>
          <w:highlight w:val="none"/>
          <w:lang w:val="en-US" w:eastAsia="zh-CN"/>
        </w:rPr>
        <w:t>很可能</w:t>
      </w:r>
      <w:r>
        <w:rPr>
          <w:rFonts w:hint="default" w:ascii="仿宋_GB2312" w:hAnsi="仿宋_GB2312" w:eastAsia="仿宋_GB2312" w:cs="仿宋_GB2312"/>
          <w:b w:val="0"/>
          <w:bCs w:val="0"/>
          <w:sz w:val="32"/>
          <w:szCs w:val="32"/>
          <w:highlight w:val="none"/>
          <w:lang w:val="en-US" w:eastAsia="zh-CN"/>
        </w:rPr>
        <w:t>将面临缺席判决的风险。</w:t>
      </w:r>
    </w:p>
    <w:p>
      <w:pPr>
        <w:keepNext w:val="0"/>
        <w:keepLines w:val="0"/>
        <w:pageBreakBefore w:val="0"/>
        <w:widowControl/>
        <w:suppressLineNumbers w:val="0"/>
        <w:kinsoku/>
        <w:wordWrap w:val="0"/>
        <w:overflowPunct/>
        <w:topLinePunct w:val="0"/>
        <w:autoSpaceDE/>
        <w:autoSpaceDN/>
        <w:bidi w:val="0"/>
        <w:adjustRightInd/>
        <w:snapToGrid/>
        <w:ind w:firstLine="420" w:firstLineChars="200"/>
        <w:jc w:val="center"/>
        <w:textAlignment w:val="auto"/>
        <w:rPr>
          <w:rFonts w:ascii="宋体" w:hAnsi="宋体" w:eastAsia="宋体" w:cs="宋体"/>
          <w:kern w:val="0"/>
          <w:sz w:val="24"/>
          <w:szCs w:val="24"/>
          <w:lang w:val="en-US" w:eastAsia="zh-CN" w:bidi="ar"/>
        </w:rPr>
      </w:pPr>
      <w:r>
        <w:drawing>
          <wp:anchor distT="0" distB="0" distL="114300" distR="114300" simplePos="0" relativeHeight="251666432" behindDoc="0" locked="0" layoutInCell="1" allowOverlap="1">
            <wp:simplePos x="0" y="0"/>
            <wp:positionH relativeFrom="column">
              <wp:posOffset>-571500</wp:posOffset>
            </wp:positionH>
            <wp:positionV relativeFrom="paragraph">
              <wp:posOffset>32385</wp:posOffset>
            </wp:positionV>
            <wp:extent cx="6365875" cy="2505075"/>
            <wp:effectExtent l="0" t="0" r="15875" b="9525"/>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6365875" cy="2505075"/>
                    </a:xfrm>
                    <a:prstGeom prst="rect">
                      <a:avLst/>
                    </a:prstGeom>
                    <a:noFill/>
                    <a:ln>
                      <a:noFill/>
                    </a:ln>
                  </pic:spPr>
                </pic:pic>
              </a:graphicData>
            </a:graphic>
          </wp:anchor>
        </w:drawing>
      </w:r>
      <w:r>
        <w:rPr>
          <w:rFonts w:ascii="宋体" w:hAnsi="宋体" w:eastAsia="宋体" w:cs="宋体"/>
          <w:kern w:val="0"/>
          <w:sz w:val="24"/>
          <w:szCs w:val="24"/>
          <w:lang w:val="en-US" w:eastAsia="zh-CN" w:bidi="ar"/>
        </w:rPr>
        <w:t>图</w:t>
      </w:r>
      <w:r>
        <w:rPr>
          <w:rFonts w:hint="eastAsia" w:ascii="宋体" w:hAnsi="宋体" w:eastAsia="宋体" w:cs="宋体"/>
          <w:kern w:val="0"/>
          <w:sz w:val="24"/>
          <w:szCs w:val="24"/>
          <w:lang w:val="en-US" w:eastAsia="zh-CN" w:bidi="ar"/>
        </w:rPr>
        <w:t xml:space="preserve">3 </w:t>
      </w:r>
      <w:r>
        <w:rPr>
          <w:rFonts w:hint="default" w:ascii="宋体" w:hAnsi="宋体" w:eastAsia="宋体" w:cs="宋体"/>
          <w:kern w:val="0"/>
          <w:sz w:val="24"/>
          <w:szCs w:val="24"/>
          <w:lang w:val="en-US" w:eastAsia="zh-CN" w:bidi="ar"/>
        </w:rPr>
        <w:t>Birkenstock</w:t>
      </w:r>
      <w:r>
        <w:rPr>
          <w:rFonts w:ascii="宋体" w:hAnsi="宋体" w:eastAsia="宋体" w:cs="宋体"/>
          <w:kern w:val="0"/>
          <w:sz w:val="24"/>
          <w:szCs w:val="24"/>
          <w:lang w:val="en-US" w:eastAsia="zh-CN" w:bidi="ar"/>
        </w:rPr>
        <w:t>美国知识产权结案时长统计</w:t>
      </w:r>
    </w:p>
    <w:p>
      <w:pPr>
        <w:keepNext w:val="0"/>
        <w:keepLines w:val="0"/>
        <w:pageBreakBefore w:val="0"/>
        <w:widowControl/>
        <w:suppressLineNumbers w:val="0"/>
        <w:kinsoku/>
        <w:wordWrap w:val="0"/>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对上述诉讼中的被告分析发现，</w:t>
      </w:r>
      <w:r>
        <w:rPr>
          <w:rFonts w:hint="eastAsia" w:ascii="仿宋_GB2312" w:hAnsi="仿宋_GB2312" w:eastAsia="仿宋_GB2312" w:cs="仿宋_GB2312"/>
          <w:b w:val="0"/>
          <w:bCs w:val="0"/>
          <w:sz w:val="32"/>
          <w:szCs w:val="32"/>
          <w:lang w:val="en-US" w:eastAsia="zh-CN"/>
        </w:rPr>
        <w:t>跨境电商是</w:t>
      </w:r>
      <w:r>
        <w:rPr>
          <w:rFonts w:hint="default" w:ascii="仿宋_GB2312" w:hAnsi="仿宋_GB2312" w:eastAsia="仿宋_GB2312" w:cs="仿宋_GB2312"/>
          <w:b w:val="0"/>
          <w:bCs w:val="0"/>
          <w:sz w:val="32"/>
          <w:szCs w:val="32"/>
          <w:lang w:val="en-US" w:eastAsia="zh-CN"/>
        </w:rPr>
        <w:t>Birkenstock重点</w:t>
      </w:r>
      <w:r>
        <w:rPr>
          <w:rFonts w:hint="eastAsia" w:ascii="仿宋_GB2312" w:hAnsi="仿宋_GB2312" w:eastAsia="仿宋_GB2312" w:cs="仿宋_GB2312"/>
          <w:b w:val="0"/>
          <w:bCs w:val="0"/>
          <w:sz w:val="32"/>
          <w:szCs w:val="32"/>
          <w:lang w:val="en-US" w:eastAsia="zh-CN"/>
        </w:rPr>
        <w:t>起诉</w:t>
      </w:r>
      <w:r>
        <w:rPr>
          <w:rFonts w:hint="default" w:ascii="仿宋_GB2312" w:hAnsi="仿宋_GB2312" w:eastAsia="仿宋_GB2312" w:cs="仿宋_GB2312"/>
          <w:b w:val="0"/>
          <w:bCs w:val="0"/>
          <w:sz w:val="32"/>
          <w:szCs w:val="32"/>
          <w:lang w:val="en-US" w:eastAsia="zh-CN"/>
        </w:rPr>
        <w:t>的侵权主体</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主要针对在亚马逊、eBay、阿里巴巴全球速卖通、独立站等电商平台上销售假冒</w:t>
      </w:r>
      <w:r>
        <w:rPr>
          <w:rFonts w:hint="eastAsia" w:ascii="仿宋_GB2312" w:hAnsi="仿宋_GB2312" w:eastAsia="仿宋_GB2312" w:cs="仿宋_GB2312"/>
          <w:b w:val="0"/>
          <w:bCs w:val="0"/>
          <w:sz w:val="32"/>
          <w:szCs w:val="32"/>
          <w:lang w:val="en-US" w:eastAsia="zh-CN"/>
        </w:rPr>
        <w:t>或近似Birkenstock</w:t>
      </w:r>
      <w:r>
        <w:rPr>
          <w:rFonts w:hint="default" w:ascii="仿宋_GB2312" w:hAnsi="仿宋_GB2312" w:eastAsia="仿宋_GB2312" w:cs="仿宋_GB2312"/>
          <w:b w:val="0"/>
          <w:bCs w:val="0"/>
          <w:sz w:val="32"/>
          <w:szCs w:val="32"/>
          <w:lang w:val="en-US" w:eastAsia="zh-CN"/>
        </w:rPr>
        <w:t>产品的卖家。诉状</w:t>
      </w:r>
      <w:r>
        <w:rPr>
          <w:rFonts w:hint="eastAsia" w:ascii="仿宋_GB2312" w:hAnsi="仿宋_GB2312" w:eastAsia="仿宋_GB2312" w:cs="仿宋_GB2312"/>
          <w:b w:val="0"/>
          <w:bCs w:val="0"/>
          <w:sz w:val="32"/>
          <w:szCs w:val="32"/>
          <w:lang w:val="en-US" w:eastAsia="zh-CN"/>
        </w:rPr>
        <w:t>中多</w:t>
      </w:r>
      <w:r>
        <w:rPr>
          <w:rFonts w:hint="default" w:ascii="仿宋_GB2312" w:hAnsi="仿宋_GB2312" w:eastAsia="仿宋_GB2312" w:cs="仿宋_GB2312"/>
          <w:b w:val="0"/>
          <w:bCs w:val="0"/>
          <w:sz w:val="32"/>
          <w:szCs w:val="32"/>
          <w:lang w:val="en-US" w:eastAsia="zh-CN"/>
        </w:rPr>
        <w:t>指出被告通过仿冒</w:t>
      </w:r>
      <w:r>
        <w:rPr>
          <w:rFonts w:hint="eastAsia" w:ascii="仿宋_GB2312" w:hAnsi="仿宋_GB2312" w:eastAsia="仿宋_GB2312" w:cs="仿宋_GB2312"/>
          <w:b w:val="0"/>
          <w:bCs w:val="0"/>
          <w:sz w:val="32"/>
          <w:szCs w:val="32"/>
          <w:lang w:val="en-US" w:eastAsia="zh-CN"/>
        </w:rPr>
        <w:t>其外观专利</w:t>
      </w:r>
      <w:r>
        <w:rPr>
          <w:rFonts w:hint="default" w:ascii="仿宋_GB2312" w:hAnsi="仿宋_GB2312" w:eastAsia="仿宋_GB2312" w:cs="仿宋_GB2312"/>
          <w:b w:val="0"/>
          <w:bCs w:val="0"/>
          <w:sz w:val="32"/>
          <w:szCs w:val="32"/>
          <w:lang w:val="en-US" w:eastAsia="zh-CN"/>
        </w:rPr>
        <w:t>与商标，不当利用</w:t>
      </w:r>
      <w:r>
        <w:rPr>
          <w:rFonts w:hint="eastAsia" w:ascii="仿宋_GB2312" w:hAnsi="仿宋_GB2312" w:eastAsia="仿宋_GB2312" w:cs="仿宋_GB2312"/>
          <w:b w:val="0"/>
          <w:bCs w:val="0"/>
          <w:sz w:val="32"/>
          <w:szCs w:val="32"/>
          <w:lang w:val="en-US" w:eastAsia="zh-CN"/>
        </w:rPr>
        <w:t>Birkenstock</w:t>
      </w:r>
      <w:r>
        <w:rPr>
          <w:rFonts w:hint="default" w:ascii="仿宋_GB2312" w:hAnsi="仿宋_GB2312" w:eastAsia="仿宋_GB2312" w:cs="仿宋_GB2312"/>
          <w:b w:val="0"/>
          <w:bCs w:val="0"/>
          <w:sz w:val="32"/>
          <w:szCs w:val="32"/>
          <w:lang w:val="en-US" w:eastAsia="zh-CN"/>
        </w:rPr>
        <w:t>公司的商誉谋利</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除直接起诉终端卖家，Birkenstock也致力于打击上游的假冒产品制造商和批发商。</w:t>
      </w: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Birkenstock</w:t>
      </w:r>
      <w:r>
        <w:rPr>
          <w:rFonts w:hint="eastAsia" w:ascii="楷体_GB2312" w:hAnsi="楷体_GB2312" w:eastAsia="楷体_GB2312" w:cs="楷体_GB2312"/>
          <w:b w:val="0"/>
          <w:bCs w:val="0"/>
          <w:sz w:val="32"/>
          <w:szCs w:val="32"/>
          <w:lang w:val="en-US" w:eastAsia="zh-CN"/>
        </w:rPr>
        <w:t>诉讼案件特点分析</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Birkenstock诉讼绝大多数属于</w:t>
      </w:r>
      <w:r>
        <w:rPr>
          <w:rFonts w:hint="default" w:ascii="仿宋_GB2312" w:hAnsi="仿宋_GB2312" w:eastAsia="仿宋_GB2312" w:cs="仿宋_GB2312"/>
          <w:b w:val="0"/>
          <w:bCs w:val="0"/>
          <w:sz w:val="32"/>
          <w:szCs w:val="32"/>
          <w:lang w:val="en-US" w:eastAsia="zh-CN"/>
        </w:rPr>
        <w:t>针对匿名网络卖家的缺席判决诉讼。</w:t>
      </w:r>
      <w:r>
        <w:rPr>
          <w:rFonts w:hint="eastAsia" w:ascii="仿宋_GB2312" w:hAnsi="仿宋_GB2312" w:eastAsia="仿宋_GB2312" w:cs="仿宋_GB2312"/>
          <w:b w:val="0"/>
          <w:bCs w:val="0"/>
          <w:sz w:val="32"/>
          <w:szCs w:val="32"/>
          <w:lang w:val="en-US" w:eastAsia="zh-CN"/>
        </w:rPr>
        <w:t>通过对Birkenstock近三年在美诉讼案件的分析整理，广东省内相关产业产品企业应重点了解以下两个方面特点：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Birkenstock诉讼策略：批量起诉，快速取胜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被诉对象</w:t>
      </w:r>
      <w:r>
        <w:rPr>
          <w:rFonts w:hint="default" w:ascii="仿宋_GB2312" w:hAnsi="仿宋_GB2312" w:eastAsia="仿宋_GB2312" w:cs="仿宋_GB2312"/>
          <w:b w:val="0"/>
          <w:bCs w:val="0"/>
          <w:sz w:val="32"/>
          <w:szCs w:val="32"/>
          <w:lang w:val="en-US" w:eastAsia="zh-CN"/>
        </w:rPr>
        <w:t>：在亚马逊、eBay、阿里巴巴、Shopify等平台上的匿名第三方卖家。</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被诉对象</w:t>
      </w:r>
      <w:r>
        <w:rPr>
          <w:rFonts w:hint="default" w:ascii="仿宋_GB2312" w:hAnsi="仿宋_GB2312" w:eastAsia="仿宋_GB2312" w:cs="仿宋_GB2312"/>
          <w:b w:val="0"/>
          <w:bCs w:val="0"/>
          <w:sz w:val="32"/>
          <w:szCs w:val="32"/>
          <w:lang w:val="en-US" w:eastAsia="zh-CN"/>
        </w:rPr>
        <w:t>特点：这些卖家通常是个人或小公司，没有法律资源</w:t>
      </w:r>
      <w:r>
        <w:rPr>
          <w:rFonts w:hint="eastAsia" w:ascii="仿宋_GB2312" w:hAnsi="仿宋_GB2312" w:eastAsia="仿宋_GB2312" w:cs="仿宋_GB2312"/>
          <w:b w:val="0"/>
          <w:bCs w:val="0"/>
          <w:sz w:val="32"/>
          <w:szCs w:val="32"/>
          <w:lang w:val="en-US" w:eastAsia="zh-CN"/>
        </w:rPr>
        <w:t>及诉讼团队</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多</w:t>
      </w:r>
      <w:r>
        <w:rPr>
          <w:rFonts w:hint="default" w:ascii="仿宋_GB2312" w:hAnsi="仿宋_GB2312" w:eastAsia="仿宋_GB2312" w:cs="仿宋_GB2312"/>
          <w:b w:val="0"/>
          <w:bCs w:val="0"/>
          <w:sz w:val="32"/>
          <w:szCs w:val="32"/>
          <w:lang w:val="en-US" w:eastAsia="zh-CN"/>
        </w:rPr>
        <w:t>位于海外</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对美国法律程序</w:t>
      </w:r>
      <w:r>
        <w:rPr>
          <w:rFonts w:hint="eastAsia" w:ascii="仿宋_GB2312" w:hAnsi="仿宋_GB2312" w:eastAsia="仿宋_GB2312" w:cs="仿宋_GB2312"/>
          <w:b w:val="0"/>
          <w:bCs w:val="0"/>
          <w:sz w:val="32"/>
          <w:szCs w:val="32"/>
          <w:lang w:val="en-US" w:eastAsia="zh-CN"/>
        </w:rPr>
        <w:t>知之甚少。</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 Birkenstock</w:t>
      </w:r>
      <w:r>
        <w:rPr>
          <w:rFonts w:hint="eastAsia" w:ascii="仿宋_GB2312" w:hAnsi="仿宋_GB2312" w:eastAsia="仿宋_GB2312" w:cs="仿宋_GB2312"/>
          <w:b w:val="0"/>
          <w:bCs w:val="0"/>
          <w:sz w:val="32"/>
          <w:szCs w:val="32"/>
          <w:lang w:val="en-US" w:eastAsia="zh-CN"/>
        </w:rPr>
        <w:t>在美诉讼</w:t>
      </w:r>
      <w:r>
        <w:rPr>
          <w:rFonts w:hint="default" w:ascii="仿宋_GB2312" w:hAnsi="仿宋_GB2312" w:eastAsia="仿宋_GB2312" w:cs="仿宋_GB2312"/>
          <w:b w:val="0"/>
          <w:bCs w:val="0"/>
          <w:sz w:val="32"/>
          <w:szCs w:val="32"/>
          <w:lang w:val="en-US" w:eastAsia="zh-CN"/>
        </w:rPr>
        <w:t>路径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第一步：起诉匿名被告</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Birkenstock的律师会向法院提起诉讼，但此时他们只知道卖家的店铺名称（如 “Happy Feet Store”），因此，他们会以未知被告等方式起诉。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第二步：法院签发临时禁令</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Birkenstock会向法院申请临时限制令和初步禁令</w:t>
      </w:r>
      <w:r>
        <w:rPr>
          <w:rFonts w:hint="eastAsia" w:ascii="仿宋_GB2312" w:hAnsi="仿宋_GB2312" w:eastAsia="仿宋_GB2312" w:cs="仿宋_GB2312"/>
          <w:b w:val="0"/>
          <w:bCs w:val="0"/>
          <w:sz w:val="32"/>
          <w:szCs w:val="32"/>
          <w:lang w:val="en-US" w:eastAsia="zh-CN"/>
        </w:rPr>
        <w:t>，并</w:t>
      </w:r>
      <w:r>
        <w:rPr>
          <w:rFonts w:hint="default" w:ascii="仿宋_GB2312" w:hAnsi="仿宋_GB2312" w:eastAsia="仿宋_GB2312" w:cs="仿宋_GB2312"/>
          <w:b w:val="0"/>
          <w:bCs w:val="0"/>
          <w:sz w:val="32"/>
          <w:szCs w:val="32"/>
          <w:lang w:val="en-US" w:eastAsia="zh-CN"/>
        </w:rPr>
        <w:t>提供强有力的证据（如注册商标证、假货对比图、卖家页面截图），法院通常会快速批准。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值得注意的是，</w:t>
      </w:r>
      <w:r>
        <w:rPr>
          <w:rFonts w:hint="default" w:ascii="仿宋_GB2312" w:hAnsi="仿宋_GB2312" w:eastAsia="仿宋_GB2312" w:cs="仿宋_GB2312"/>
          <w:b w:val="0"/>
          <w:bCs w:val="0"/>
          <w:sz w:val="32"/>
          <w:szCs w:val="32"/>
          <w:lang w:val="en-US" w:eastAsia="zh-CN"/>
        </w:rPr>
        <w:t>TRO/PI一旦禁令生效，法院会命令电商平台（如亚马逊）立即冻结卖家的账户资金，并披露卖家的真实身份信息（姓名、地址、银行账户等）。</w:t>
      </w:r>
      <w:r>
        <w:rPr>
          <w:rFonts w:hint="eastAsia" w:ascii="仿宋_GB2312" w:hAnsi="仿宋_GB2312" w:eastAsia="仿宋_GB2312" w:cs="仿宋_GB2312"/>
          <w:b w:val="0"/>
          <w:bCs w:val="0"/>
          <w:sz w:val="32"/>
          <w:szCs w:val="32"/>
          <w:lang w:val="en-US" w:eastAsia="zh-CN"/>
        </w:rPr>
        <w:t>此时</w:t>
      </w:r>
      <w:r>
        <w:rPr>
          <w:rFonts w:hint="default" w:ascii="仿宋_GB2312" w:hAnsi="仿宋_GB2312" w:eastAsia="仿宋_GB2312" w:cs="仿宋_GB2312"/>
          <w:b w:val="0"/>
          <w:bCs w:val="0"/>
          <w:sz w:val="32"/>
          <w:szCs w:val="32"/>
          <w:lang w:val="en-US" w:eastAsia="zh-CN"/>
        </w:rPr>
        <w:t>卖家账户资金</w:t>
      </w:r>
      <w:r>
        <w:rPr>
          <w:rFonts w:hint="eastAsia" w:ascii="仿宋_GB2312" w:hAnsi="仿宋_GB2312" w:eastAsia="仿宋_GB2312" w:cs="仿宋_GB2312"/>
          <w:b w:val="0"/>
          <w:bCs w:val="0"/>
          <w:sz w:val="32"/>
          <w:szCs w:val="32"/>
          <w:lang w:val="en-US" w:eastAsia="zh-CN"/>
        </w:rPr>
        <w:t>将</w:t>
      </w:r>
      <w:r>
        <w:rPr>
          <w:rFonts w:hint="default" w:ascii="仿宋_GB2312" w:hAnsi="仿宋_GB2312" w:eastAsia="仿宋_GB2312" w:cs="仿宋_GB2312"/>
          <w:b w:val="0"/>
          <w:bCs w:val="0"/>
          <w:sz w:val="32"/>
          <w:szCs w:val="32"/>
          <w:lang w:val="en-US" w:eastAsia="zh-CN"/>
        </w:rPr>
        <w:t>被冻结，业务</w:t>
      </w:r>
      <w:r>
        <w:rPr>
          <w:rFonts w:hint="eastAsia" w:ascii="仿宋_GB2312" w:hAnsi="仿宋_GB2312" w:eastAsia="仿宋_GB2312" w:cs="仿宋_GB2312"/>
          <w:b w:val="0"/>
          <w:bCs w:val="0"/>
          <w:sz w:val="32"/>
          <w:szCs w:val="32"/>
          <w:lang w:val="en-US" w:eastAsia="zh-CN"/>
        </w:rPr>
        <w:t>随即</w:t>
      </w:r>
      <w:r>
        <w:rPr>
          <w:rFonts w:hint="default" w:ascii="仿宋_GB2312" w:hAnsi="仿宋_GB2312" w:eastAsia="仿宋_GB2312" w:cs="仿宋_GB2312"/>
          <w:b w:val="0"/>
          <w:bCs w:val="0"/>
          <w:sz w:val="32"/>
          <w:szCs w:val="32"/>
          <w:lang w:val="en-US" w:eastAsia="zh-CN"/>
        </w:rPr>
        <w:t>停摆。</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第三步：被告缺席</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当卖家收到法院传票或发现自己的账户被冻结时，</w:t>
      </w:r>
      <w:r>
        <w:rPr>
          <w:rFonts w:hint="eastAsia" w:ascii="仿宋_GB2312" w:hAnsi="仿宋_GB2312" w:eastAsia="仿宋_GB2312" w:cs="仿宋_GB2312"/>
          <w:b w:val="0"/>
          <w:bCs w:val="0"/>
          <w:sz w:val="32"/>
          <w:szCs w:val="32"/>
          <w:lang w:val="en-US" w:eastAsia="zh-CN"/>
        </w:rPr>
        <w:t>一般会</w:t>
      </w:r>
      <w:r>
        <w:rPr>
          <w:rFonts w:hint="default" w:ascii="仿宋_GB2312" w:hAnsi="仿宋_GB2312" w:eastAsia="仿宋_GB2312" w:cs="仿宋_GB2312"/>
          <w:b w:val="0"/>
          <w:bCs w:val="0"/>
          <w:sz w:val="32"/>
          <w:szCs w:val="32"/>
          <w:lang w:val="en-US" w:eastAsia="zh-CN"/>
        </w:rPr>
        <w:t>面临应诉</w:t>
      </w:r>
      <w:r>
        <w:rPr>
          <w:rFonts w:hint="eastAsia" w:ascii="仿宋_GB2312" w:hAnsi="仿宋_GB2312" w:eastAsia="仿宋_GB2312" w:cs="仿宋_GB2312"/>
          <w:b w:val="0"/>
          <w:bCs w:val="0"/>
          <w:sz w:val="32"/>
          <w:szCs w:val="32"/>
          <w:lang w:val="en-US" w:eastAsia="zh-CN"/>
        </w:rPr>
        <w:t>或者放弃应</w:t>
      </w:r>
      <w:r>
        <w:rPr>
          <w:rFonts w:hint="default" w:ascii="仿宋_GB2312" w:hAnsi="仿宋_GB2312" w:eastAsia="仿宋_GB2312" w:cs="仿宋_GB2312"/>
          <w:b w:val="0"/>
          <w:bCs w:val="0"/>
          <w:sz w:val="32"/>
          <w:szCs w:val="32"/>
          <w:lang w:val="en-US" w:eastAsia="zh-CN"/>
        </w:rPr>
        <w:t>诉</w:t>
      </w:r>
      <w:r>
        <w:rPr>
          <w:rFonts w:hint="eastAsia" w:ascii="仿宋_GB2312" w:hAnsi="仿宋_GB2312" w:eastAsia="仿宋_GB2312" w:cs="仿宋_GB2312"/>
          <w:b w:val="0"/>
          <w:bCs w:val="0"/>
          <w:sz w:val="32"/>
          <w:szCs w:val="32"/>
          <w:lang w:val="en-US" w:eastAsia="zh-CN"/>
        </w:rPr>
        <w:t>。应诉所聘请的律师</w:t>
      </w:r>
      <w:r>
        <w:rPr>
          <w:rFonts w:hint="default" w:ascii="仿宋_GB2312" w:hAnsi="仿宋_GB2312" w:eastAsia="仿宋_GB2312" w:cs="仿宋_GB2312"/>
          <w:b w:val="0"/>
          <w:bCs w:val="0"/>
          <w:sz w:val="32"/>
          <w:szCs w:val="32"/>
          <w:lang w:val="en-US" w:eastAsia="zh-CN"/>
        </w:rPr>
        <w:t>费用至少数万美元，</w:t>
      </w:r>
      <w:r>
        <w:rPr>
          <w:rFonts w:hint="eastAsia" w:ascii="仿宋_GB2312" w:hAnsi="仿宋_GB2312" w:eastAsia="仿宋_GB2312" w:cs="仿宋_GB2312"/>
          <w:b w:val="0"/>
          <w:bCs w:val="0"/>
          <w:sz w:val="32"/>
          <w:szCs w:val="32"/>
          <w:lang w:val="en-US" w:eastAsia="zh-CN"/>
        </w:rPr>
        <w:t>因此</w:t>
      </w:r>
      <w:r>
        <w:rPr>
          <w:rFonts w:hint="default" w:ascii="仿宋_GB2312" w:hAnsi="仿宋_GB2312" w:eastAsia="仿宋_GB2312" w:cs="仿宋_GB2312"/>
          <w:b w:val="0"/>
          <w:bCs w:val="0"/>
          <w:sz w:val="32"/>
          <w:szCs w:val="32"/>
          <w:lang w:val="en-US" w:eastAsia="zh-CN"/>
        </w:rPr>
        <w:t>绝大多数</w:t>
      </w:r>
      <w:r>
        <w:rPr>
          <w:rFonts w:hint="eastAsia" w:ascii="仿宋_GB2312" w:hAnsi="仿宋_GB2312" w:eastAsia="仿宋_GB2312" w:cs="仿宋_GB2312"/>
          <w:b w:val="0"/>
          <w:bCs w:val="0"/>
          <w:sz w:val="32"/>
          <w:szCs w:val="32"/>
          <w:lang w:val="en-US" w:eastAsia="zh-CN"/>
        </w:rPr>
        <w:t>国内</w:t>
      </w:r>
      <w:r>
        <w:rPr>
          <w:rFonts w:hint="default" w:ascii="仿宋_GB2312" w:hAnsi="仿宋_GB2312" w:eastAsia="仿宋_GB2312" w:cs="仿宋_GB2312"/>
          <w:b w:val="0"/>
          <w:bCs w:val="0"/>
          <w:sz w:val="32"/>
          <w:szCs w:val="32"/>
          <w:lang w:val="en-US" w:eastAsia="zh-CN"/>
        </w:rPr>
        <w:t>卖家选择放弃应诉，</w:t>
      </w:r>
      <w:r>
        <w:rPr>
          <w:rFonts w:hint="eastAsia" w:ascii="仿宋_GB2312" w:hAnsi="仿宋_GB2312" w:eastAsia="仿宋_GB2312" w:cs="仿宋_GB2312"/>
          <w:b w:val="0"/>
          <w:bCs w:val="0"/>
          <w:sz w:val="32"/>
          <w:szCs w:val="32"/>
          <w:lang w:val="en-US" w:eastAsia="zh-CN"/>
        </w:rPr>
        <w:t>原因在于</w:t>
      </w:r>
      <w:r>
        <w:rPr>
          <w:rFonts w:hint="default" w:ascii="仿宋_GB2312" w:hAnsi="仿宋_GB2312" w:eastAsia="仿宋_GB2312" w:cs="仿宋_GB2312"/>
          <w:b w:val="0"/>
          <w:bCs w:val="0"/>
          <w:sz w:val="32"/>
          <w:szCs w:val="32"/>
          <w:lang w:val="en-US" w:eastAsia="zh-CN"/>
        </w:rPr>
        <w:t>他们无法承担高昂的法律费用，或者认为不值得为一个小店铺而战。</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第四步：获得缺席判决</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一旦被告在规定时间内不回应，Birkenstock的律师会立即向法院申请“缺席判决”。由于被告没有提出任何抗辩，法院会支持原告的诉求，认定侵权成立</w:t>
      </w:r>
      <w:r>
        <w:rPr>
          <w:rFonts w:hint="eastAsia" w:ascii="仿宋_GB2312" w:hAnsi="仿宋_GB2312" w:eastAsia="仿宋_GB2312" w:cs="仿宋_GB2312"/>
          <w:b w:val="0"/>
          <w:bCs w:val="0"/>
          <w:sz w:val="32"/>
          <w:szCs w:val="32"/>
          <w:lang w:val="en-US" w:eastAsia="zh-CN"/>
        </w:rPr>
        <w:t>。被告面临以下结果：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永久性禁令：永久禁止该卖家再销售任何Birkenstock假冒产品。</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损害赔偿：法院会判给Birkenstock法定损害赔偿。根据美国商标法（《兰哈姆法》），每件假冒商品的赔偿额可高达200万美元（对于故意侵权）。</w:t>
      </w:r>
      <w:r>
        <w:rPr>
          <w:rFonts w:hint="eastAsia" w:ascii="仿宋_GB2312" w:hAnsi="仿宋_GB2312" w:eastAsia="仿宋_GB2312" w:cs="仿宋_GB2312"/>
          <w:b w:val="0"/>
          <w:bCs w:val="0"/>
          <w:sz w:val="32"/>
          <w:szCs w:val="32"/>
          <w:lang w:val="en-US" w:eastAsia="zh-CN"/>
        </w:rPr>
        <w:t>结合</w:t>
      </w: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在先判决，判赔金额通常在数万美元之间</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律师费：判令被告承担Birkenstock的律师费。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在这种“起诉-冻结-缺席-判决”的标准化流程下，Birkenstock的“胜率”</w:t>
      </w:r>
      <w:r>
        <w:rPr>
          <w:rFonts w:hint="eastAsia" w:ascii="仿宋_GB2312" w:hAnsi="仿宋_GB2312" w:eastAsia="仿宋_GB2312" w:cs="仿宋_GB2312"/>
          <w:b w:val="0"/>
          <w:bCs w:val="0"/>
          <w:sz w:val="32"/>
          <w:szCs w:val="32"/>
          <w:lang w:val="en-US" w:eastAsia="zh-CN"/>
        </w:rPr>
        <w:t>显而易见，</w:t>
      </w:r>
      <w:r>
        <w:rPr>
          <w:rFonts w:hint="default" w:ascii="仿宋_GB2312" w:hAnsi="仿宋_GB2312" w:eastAsia="仿宋_GB2312" w:cs="仿宋_GB2312"/>
          <w:b w:val="0"/>
          <w:bCs w:val="0"/>
          <w:sz w:val="32"/>
          <w:szCs w:val="32"/>
          <w:lang w:val="en-US" w:eastAsia="zh-CN"/>
        </w:rPr>
        <w:t>这是因为案件性质和被告的选择共同导致的结果。</w:t>
      </w:r>
    </w:p>
    <w:p>
      <w:pPr>
        <w:pStyle w:val="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20" w:lineRule="exact"/>
        <w:ind w:leftChars="200" w:right="0" w:rightChars="0" w:firstLine="640" w:firstLineChars="200"/>
        <w:jc w:val="both"/>
        <w:textAlignment w:val="auto"/>
      </w:pPr>
      <w:r>
        <w:rPr>
          <w:rFonts w:hint="eastAsia" w:ascii="黑体" w:hAnsi="黑体" w:eastAsia="黑体" w:cs="黑体"/>
          <w:i w:val="0"/>
          <w:iCs w:val="0"/>
          <w:caps w:val="0"/>
          <w:color w:val="404040"/>
          <w:spacing w:val="0"/>
          <w:sz w:val="32"/>
          <w:szCs w:val="32"/>
          <w:shd w:val="clear" w:fill="FFFFFF"/>
          <w:lang w:val="en-US" w:eastAsia="zh-CN"/>
        </w:rPr>
        <w:t>三、</w:t>
      </w:r>
      <w:r>
        <w:rPr>
          <w:rFonts w:hint="default" w:ascii="黑体" w:hAnsi="黑体" w:eastAsia="黑体" w:cs="黑体"/>
          <w:i w:val="0"/>
          <w:iCs w:val="0"/>
          <w:caps w:val="0"/>
          <w:color w:val="404040"/>
          <w:spacing w:val="0"/>
          <w:sz w:val="32"/>
          <w:szCs w:val="32"/>
          <w:shd w:val="clear" w:fill="FFFFFF"/>
          <w:lang w:val="en-US" w:eastAsia="zh-CN"/>
        </w:rPr>
        <w:t>Birkenstock</w:t>
      </w:r>
      <w:r>
        <w:rPr>
          <w:rFonts w:hint="eastAsia" w:ascii="黑体" w:hAnsi="黑体" w:eastAsia="黑体" w:cs="黑体"/>
          <w:i w:val="0"/>
          <w:iCs w:val="0"/>
          <w:caps w:val="0"/>
          <w:color w:val="404040"/>
          <w:spacing w:val="0"/>
          <w:sz w:val="32"/>
          <w:szCs w:val="32"/>
          <w:shd w:val="clear" w:fill="FFFFFF"/>
          <w:lang w:val="en-US" w:eastAsia="zh-CN"/>
        </w:rPr>
        <w:t>风险防控建议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鉴于综上对</w:t>
      </w:r>
      <w:r>
        <w:rPr>
          <w:rFonts w:hint="default" w:ascii="仿宋_GB2312" w:hAnsi="仿宋_GB2312" w:eastAsia="仿宋_GB2312" w:cs="仿宋_GB2312"/>
          <w:b w:val="0"/>
          <w:bCs w:val="0"/>
          <w:sz w:val="32"/>
          <w:szCs w:val="32"/>
          <w:lang w:val="en-US" w:eastAsia="zh-CN"/>
        </w:rPr>
        <w:t>Birkenstock</w:t>
      </w:r>
      <w:r>
        <w:rPr>
          <w:rFonts w:hint="eastAsia" w:ascii="仿宋_GB2312" w:hAnsi="仿宋_GB2312" w:eastAsia="仿宋_GB2312" w:cs="仿宋_GB2312"/>
          <w:b w:val="0"/>
          <w:bCs w:val="0"/>
          <w:sz w:val="32"/>
          <w:szCs w:val="32"/>
          <w:lang w:val="en-US" w:eastAsia="zh-CN"/>
        </w:rPr>
        <w:t>诉讼案件趋势和诉讼特征分析，结合我省相关行业产品生产销售企业，特别是跨境电商企业，广东省知识产权保护中心（</w:t>
      </w:r>
      <w:r>
        <w:rPr>
          <w:rFonts w:hint="default" w:ascii="仿宋_GB2312" w:hAnsi="仿宋_GB2312" w:eastAsia="仿宋_GB2312" w:cs="仿宋_GB2312"/>
          <w:b w:val="0"/>
          <w:bCs w:val="0"/>
          <w:sz w:val="32"/>
          <w:szCs w:val="32"/>
          <w:lang w:val="en-US" w:eastAsia="zh-CN"/>
        </w:rPr>
        <w:t>海外知识产权纠纷应对指导</w:t>
      </w:r>
      <w:r>
        <w:rPr>
          <w:rFonts w:hint="eastAsia" w:ascii="仿宋_GB2312" w:hAnsi="仿宋_GB2312" w:eastAsia="仿宋_GB2312" w:cs="仿宋_GB2312"/>
          <w:b w:val="0"/>
          <w:bCs w:val="0"/>
          <w:sz w:val="32"/>
          <w:szCs w:val="32"/>
          <w:lang w:val="en-US" w:eastAsia="zh-CN"/>
        </w:rPr>
        <w:t>广东</w:t>
      </w:r>
      <w:r>
        <w:rPr>
          <w:rFonts w:hint="default" w:ascii="仿宋_GB2312" w:hAnsi="仿宋_GB2312" w:eastAsia="仿宋_GB2312" w:cs="仿宋_GB2312"/>
          <w:b w:val="0"/>
          <w:bCs w:val="0"/>
          <w:sz w:val="32"/>
          <w:szCs w:val="32"/>
          <w:lang w:val="en-US" w:eastAsia="zh-CN"/>
        </w:rPr>
        <w:t>分中心</w:t>
      </w:r>
      <w:r>
        <w:rPr>
          <w:rFonts w:hint="eastAsia" w:ascii="仿宋_GB2312" w:hAnsi="仿宋_GB2312" w:eastAsia="仿宋_GB2312" w:cs="仿宋_GB2312"/>
          <w:b w:val="0"/>
          <w:bCs w:val="0"/>
          <w:sz w:val="32"/>
          <w:szCs w:val="32"/>
          <w:lang w:val="en-US" w:eastAsia="zh-CN"/>
        </w:rPr>
        <w:t>）建议:一是省内企业可通过高风险销售渠道及潜在侵权风险清单进行自查自纠（详见图4-5），</w:t>
      </w:r>
      <w:r>
        <w:rPr>
          <w:rFonts w:hint="default" w:ascii="仿宋_GB2312" w:hAnsi="仿宋_GB2312" w:eastAsia="仿宋_GB2312" w:cs="仿宋_GB2312"/>
          <w:b w:val="0"/>
          <w:bCs w:val="0"/>
          <w:sz w:val="32"/>
          <w:szCs w:val="32"/>
          <w:lang w:val="en-US" w:eastAsia="zh-CN"/>
        </w:rPr>
        <w:t>避免在产品标题、产品描述、图片及广告等使用Birkenstock的已注册商标，或者使用变体或组合词</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同时避免使用其产品系列名称</w:t>
      </w:r>
      <w:r>
        <w:rPr>
          <w:rFonts w:hint="eastAsia" w:ascii="仿宋_GB2312" w:hAnsi="仿宋_GB2312" w:eastAsia="仿宋_GB2312" w:cs="仿宋_GB2312"/>
          <w:b w:val="0"/>
          <w:bCs w:val="0"/>
          <w:sz w:val="32"/>
          <w:szCs w:val="32"/>
          <w:lang w:val="en-US" w:eastAsia="zh-CN"/>
        </w:rPr>
        <w:t>。二是省内</w:t>
      </w:r>
      <w:r>
        <w:rPr>
          <w:rFonts w:hint="default" w:ascii="仿宋_GB2312" w:hAnsi="仿宋_GB2312" w:eastAsia="仿宋_GB2312" w:cs="仿宋_GB2312"/>
          <w:b w:val="0"/>
          <w:bCs w:val="0"/>
          <w:sz w:val="32"/>
          <w:szCs w:val="32"/>
          <w:lang w:val="en-US" w:eastAsia="zh-CN"/>
        </w:rPr>
        <w:t>企业在产品研发环节，</w:t>
      </w:r>
      <w:r>
        <w:rPr>
          <w:rFonts w:hint="eastAsia" w:ascii="仿宋_GB2312" w:hAnsi="仿宋_GB2312" w:eastAsia="仿宋_GB2312" w:cs="仿宋_GB2312"/>
          <w:b w:val="0"/>
          <w:bCs w:val="0"/>
          <w:sz w:val="32"/>
          <w:szCs w:val="32"/>
          <w:lang w:val="en-US" w:eastAsia="zh-CN"/>
        </w:rPr>
        <w:t>规避</w:t>
      </w:r>
      <w:r>
        <w:rPr>
          <w:rFonts w:hint="default" w:ascii="仿宋_GB2312" w:hAnsi="仿宋_GB2312" w:eastAsia="仿宋_GB2312" w:cs="仿宋_GB2312"/>
          <w:b w:val="0"/>
          <w:bCs w:val="0"/>
          <w:sz w:val="32"/>
          <w:szCs w:val="32"/>
          <w:lang w:val="en-US" w:eastAsia="zh-CN"/>
        </w:rPr>
        <w:t>与Birkenstock外观设计专利之间的设计差异点，确保产品的独创性，同时避开已被专利保护的标志性设计元素</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z w:val="32"/>
          <w:szCs w:val="32"/>
          <w:lang w:val="en-US" w:eastAsia="zh-CN"/>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4"/>
        <w:gridCol w:w="3431"/>
        <w:gridCol w:w="3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center"/>
              <w:textAlignment w:val="auto"/>
              <w:rPr>
                <w:rFonts w:hint="default" w:ascii="仿宋_GB2312" w:hAnsi="仿宋_GB2312" w:eastAsia="仿宋_GB2312" w:cs="仿宋_GB2312"/>
                <w:b/>
                <w:bCs/>
                <w:sz w:val="32"/>
                <w:szCs w:val="32"/>
                <w:vertAlign w:val="baseline"/>
                <w:lang w:val="en-US" w:eastAsia="zh-CN"/>
              </w:rPr>
            </w:pPr>
            <w:r>
              <w:rPr>
                <w:rStyle w:val="10"/>
                <w:rFonts w:hint="eastAsia" w:ascii="宋体" w:hAnsi="宋体" w:eastAsia="宋体" w:cs="宋体"/>
                <w:b/>
                <w:bCs/>
                <w:kern w:val="0"/>
                <w:sz w:val="22"/>
                <w:szCs w:val="22"/>
                <w:lang w:val="en-US" w:eastAsia="zh-CN" w:bidi="ar"/>
              </w:rPr>
              <w:t>电商</w:t>
            </w:r>
            <w:r>
              <w:rPr>
                <w:rStyle w:val="10"/>
                <w:rFonts w:ascii="宋体" w:hAnsi="宋体" w:eastAsia="宋体" w:cs="宋体"/>
                <w:b/>
                <w:bCs/>
                <w:kern w:val="0"/>
                <w:sz w:val="22"/>
                <w:szCs w:val="22"/>
                <w:lang w:val="en-US" w:eastAsia="zh-CN" w:bidi="ar"/>
              </w:rPr>
              <w:t>平台</w:t>
            </w:r>
          </w:p>
        </w:tc>
        <w:tc>
          <w:tcPr>
            <w:tcW w:w="3431" w:type="dxa"/>
            <w:tcBorders>
              <w:tl2br w:val="nil"/>
              <w:tr2bl w:val="nil"/>
            </w:tcBorders>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jc w:val="center"/>
              <w:textAlignment w:val="auto"/>
              <w:rPr>
                <w:rFonts w:hint="default" w:ascii="仿宋_GB2312" w:hAnsi="仿宋_GB2312" w:eastAsia="仿宋_GB2312" w:cs="仿宋_GB2312"/>
                <w:b/>
                <w:bCs/>
                <w:sz w:val="32"/>
                <w:szCs w:val="32"/>
                <w:vertAlign w:val="baseline"/>
                <w:lang w:val="en-US" w:eastAsia="zh-CN"/>
              </w:rPr>
            </w:pPr>
            <w:r>
              <w:rPr>
                <w:rStyle w:val="10"/>
                <w:rFonts w:ascii="宋体" w:hAnsi="宋体" w:eastAsia="宋体" w:cs="宋体"/>
                <w:b/>
                <w:bCs/>
                <w:kern w:val="0"/>
                <w:sz w:val="22"/>
                <w:szCs w:val="22"/>
                <w:lang w:val="en-US" w:eastAsia="zh-CN" w:bidi="ar"/>
              </w:rPr>
              <w:t>常见侵权形式</w:t>
            </w:r>
          </w:p>
        </w:tc>
        <w:tc>
          <w:tcPr>
            <w:tcW w:w="3131" w:type="dxa"/>
            <w:tcBorders>
              <w:tl2br w:val="nil"/>
              <w:tr2bl w:val="nil"/>
            </w:tcBorders>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20" w:lineRule="exact"/>
              <w:ind w:firstLine="220" w:firstLineChars="100"/>
              <w:jc w:val="center"/>
              <w:textAlignment w:val="auto"/>
              <w:rPr>
                <w:rFonts w:hint="default" w:ascii="仿宋_GB2312" w:hAnsi="仿宋_GB2312" w:eastAsia="仿宋_GB2312" w:cs="仿宋_GB2312"/>
                <w:b/>
                <w:bCs/>
                <w:sz w:val="32"/>
                <w:szCs w:val="32"/>
                <w:vertAlign w:val="baseline"/>
                <w:lang w:val="en-US" w:eastAsia="zh-CN"/>
              </w:rPr>
            </w:pPr>
            <w:r>
              <w:rPr>
                <w:rStyle w:val="10"/>
                <w:rFonts w:ascii="宋体" w:hAnsi="宋体" w:eastAsia="宋体" w:cs="宋体"/>
                <w:b/>
                <w:bCs/>
                <w:kern w:val="0"/>
                <w:sz w:val="22"/>
                <w:szCs w:val="22"/>
                <w:lang w:val="en-US" w:eastAsia="zh-CN" w:bidi="ar"/>
              </w:rPr>
              <w:t>监测重点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Amazon</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仿品、二手翻新、未经授权销售</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Brand Registry + 专利投诉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eBay</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低价仿款、关键词滥用</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VeRO计划下架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Wish</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超低价仿品（$20~$50）</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图片识别+关键词监控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AliExpress</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“同款”“复刻”描述</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商标投诉+平台举报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4"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Style w:val="10"/>
                <w:rFonts w:ascii="宋体" w:hAnsi="宋体" w:eastAsia="宋体" w:cs="宋体"/>
                <w:b/>
                <w:bCs/>
                <w:kern w:val="0"/>
                <w:sz w:val="22"/>
                <w:szCs w:val="22"/>
                <w:lang w:val="en-US" w:eastAsia="zh-CN" w:bidi="ar"/>
              </w:rPr>
              <w:t>独立站</w:t>
            </w:r>
          </w:p>
        </w:tc>
        <w:tc>
          <w:tcPr>
            <w:tcW w:w="34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仿品+虚假“官方授权”宣称</w:t>
            </w:r>
          </w:p>
        </w:tc>
        <w:tc>
          <w:tcPr>
            <w:tcW w:w="3131" w:type="dxa"/>
            <w:tcBorders>
              <w:tl2br w:val="nil"/>
              <w:tr2bl w:val="nil"/>
            </w:tcBorders>
            <w:vAlign w:val="center"/>
          </w:tcPr>
          <w:p>
            <w:pPr>
              <w:keepNext w:val="0"/>
              <w:keepLines w:val="0"/>
              <w:widowControl/>
              <w:suppressLineNumbers w:val="0"/>
              <w:spacing w:line="26" w:lineRule="atLeast"/>
              <w:jc w:val="both"/>
              <w:rPr>
                <w:rFonts w:hint="default" w:ascii="仿宋_GB2312" w:hAnsi="仿宋_GB2312" w:eastAsia="仿宋_GB2312" w:cs="仿宋_GB2312"/>
                <w:b w:val="0"/>
                <w:bCs w:val="0"/>
                <w:sz w:val="32"/>
                <w:szCs w:val="32"/>
                <w:vertAlign w:val="baseline"/>
                <w:lang w:val="en-US" w:eastAsia="zh-CN"/>
              </w:rPr>
            </w:pPr>
            <w:r>
              <w:rPr>
                <w:rFonts w:ascii="宋体" w:hAnsi="宋体" w:eastAsia="宋体" w:cs="宋体"/>
                <w:kern w:val="0"/>
                <w:sz w:val="22"/>
                <w:szCs w:val="22"/>
                <w:lang w:val="en-US" w:eastAsia="zh-CN" w:bidi="ar"/>
              </w:rPr>
              <w:t>Whois查域名+PayPal投诉</w:t>
            </w:r>
          </w:p>
        </w:tc>
      </w:tr>
    </w:tbl>
    <w:p>
      <w:pPr>
        <w:keepNext w:val="0"/>
        <w:keepLines w:val="0"/>
        <w:widowControl/>
        <w:suppressLineNumbers w:val="0"/>
        <w:spacing w:line="26" w:lineRule="atLeast"/>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图4</w:t>
      </w:r>
      <w:r>
        <w:rPr>
          <w:rFonts w:hint="default" w:ascii="宋体" w:hAnsi="宋体" w:eastAsia="宋体" w:cs="宋体"/>
          <w:kern w:val="0"/>
          <w:sz w:val="22"/>
          <w:szCs w:val="22"/>
          <w:lang w:val="en-US" w:eastAsia="zh-CN" w:bidi="ar"/>
        </w:rPr>
        <w:t>高风险销售渠道</w:t>
      </w:r>
    </w:p>
    <w:p>
      <w:pPr>
        <w:keepNext w:val="0"/>
        <w:keepLines w:val="0"/>
        <w:widowControl/>
        <w:suppressLineNumbers w:val="0"/>
        <w:spacing w:line="26" w:lineRule="atLeast"/>
        <w:jc w:val="both"/>
        <w:rPr>
          <w:rFonts w:hint="default" w:ascii="宋体" w:hAnsi="宋体" w:eastAsia="宋体" w:cs="宋体"/>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3431"/>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6" w:lineRule="atLeast"/>
              <w:jc w:val="center"/>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风险点</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6" w:lineRule="atLeast"/>
              <w:jc w:val="center"/>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安全做法</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26" w:lineRule="atLeast"/>
              <w:jc w:val="center"/>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危险做法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公司/店铺名称</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使用自有品牌</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将</w:t>
            </w:r>
            <w:r>
              <w:rPr>
                <w:rFonts w:hint="eastAsia" w:ascii="宋体" w:hAnsi="宋体" w:eastAsia="宋体" w:cs="宋体"/>
                <w:kern w:val="0"/>
                <w:sz w:val="22"/>
                <w:szCs w:val="22"/>
                <w:lang w:val="en-US" w:eastAsia="zh-CN" w:bidi="ar"/>
              </w:rPr>
              <w:t>“</w:t>
            </w:r>
            <w:r>
              <w:rPr>
                <w:rFonts w:hint="default" w:ascii="宋体" w:hAnsi="宋体" w:eastAsia="宋体" w:cs="宋体"/>
                <w:kern w:val="0"/>
                <w:sz w:val="22"/>
                <w:szCs w:val="22"/>
                <w:lang w:val="en-US" w:eastAsia="zh-CN" w:bidi="ar"/>
              </w:rPr>
              <w:t>Birkenstock</w:t>
            </w:r>
            <w:r>
              <w:rPr>
                <w:rFonts w:hint="eastAsia" w:ascii="宋体" w:hAnsi="宋体" w:eastAsia="宋体" w:cs="宋体"/>
                <w:kern w:val="0"/>
                <w:sz w:val="22"/>
                <w:szCs w:val="22"/>
                <w:lang w:val="en-US" w:eastAsia="zh-CN" w:bidi="ar"/>
              </w:rPr>
              <w:t>”</w:t>
            </w:r>
            <w:r>
              <w:rPr>
                <w:rFonts w:hint="default" w:ascii="宋体" w:hAnsi="宋体" w:eastAsia="宋体" w:cs="宋体"/>
                <w:kern w:val="0"/>
                <w:sz w:val="22"/>
                <w:szCs w:val="22"/>
                <w:lang w:val="en-US" w:eastAsia="zh-CN" w:bidi="ar"/>
              </w:rPr>
              <w:t>作为公司名称的核心部分，例如：Birkenstock折扣店”、“Birkenstock直销网”。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域名</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使用自有品牌域名</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w:t>
            </w:r>
            <w:r>
              <w:rPr>
                <w:rFonts w:hint="eastAsia" w:ascii="宋体" w:hAnsi="宋体" w:eastAsia="宋体" w:cs="宋体"/>
                <w:kern w:val="0"/>
                <w:sz w:val="22"/>
                <w:szCs w:val="22"/>
                <w:lang w:val="en-US" w:eastAsia="zh-CN" w:bidi="ar"/>
              </w:rPr>
              <w:t>www.birkenstock-outlet.com或</w:t>
            </w:r>
            <w:r>
              <w:rPr>
                <w:rFonts w:hint="default" w:ascii="宋体" w:hAnsi="宋体" w:eastAsia="宋体" w:cs="宋体"/>
                <w:kern w:val="0"/>
                <w:sz w:val="22"/>
                <w:szCs w:val="22"/>
                <w:lang w:val="en-US" w:eastAsia="zh-CN" w:bidi="ar"/>
              </w:rPr>
              <w:t>www.birkenstock-sale.com</w:t>
            </w:r>
            <w:r>
              <w:rPr>
                <w:rFonts w:hint="eastAsia" w:ascii="宋体" w:hAnsi="宋体" w:eastAsia="宋体" w:cs="宋体"/>
                <w:kern w:val="0"/>
                <w:sz w:val="22"/>
                <w:szCs w:val="22"/>
                <w:lang w:val="en-US" w:eastAsia="zh-CN" w:bidi="ar"/>
              </w:rPr>
              <w:t>这类混淆形式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产品本身</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不出现任何Birkenstock商标</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w:t>
            </w:r>
            <w:r>
              <w:rPr>
                <w:rFonts w:hint="default" w:ascii="宋体" w:hAnsi="宋体" w:eastAsia="宋体" w:cs="宋体"/>
                <w:kern w:val="0"/>
                <w:sz w:val="22"/>
                <w:szCs w:val="22"/>
                <w:lang w:val="en-US" w:eastAsia="zh-CN" w:bidi="ar"/>
              </w:rPr>
              <w:t>销售印有 “BIRKENSTOCK” 或类似字样的凉鞋、拖鞋、鞋垫；</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w:t>
            </w:r>
            <w:r>
              <w:rPr>
                <w:rFonts w:hint="default" w:ascii="宋体" w:hAnsi="宋体" w:eastAsia="宋体" w:cs="宋体"/>
                <w:kern w:val="0"/>
                <w:sz w:val="22"/>
                <w:szCs w:val="22"/>
                <w:lang w:val="en-US" w:eastAsia="zh-CN" w:bidi="ar"/>
              </w:rPr>
              <w:t>使用与官方商标近似的拼写或变形（如 BIRK、BIRKENS、BIRKSTOCK）；</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w:t>
            </w:r>
            <w:r>
              <w:rPr>
                <w:rFonts w:hint="default" w:ascii="宋体" w:hAnsi="宋体" w:eastAsia="宋体" w:cs="宋体"/>
                <w:kern w:val="0"/>
                <w:sz w:val="22"/>
                <w:szCs w:val="22"/>
                <w:lang w:val="en-US" w:eastAsia="zh-CN" w:bidi="ar"/>
              </w:rPr>
              <w:t>销售外观高度仿真、易让消费者混淆的鞋款（如双带扣鞋、软木鞋底结构）</w:t>
            </w:r>
            <w:r>
              <w:rPr>
                <w:rFonts w:hint="eastAsia" w:ascii="宋体" w:hAnsi="宋体" w:eastAsia="宋体" w:cs="宋体"/>
                <w:kern w:val="0"/>
                <w:sz w:val="22"/>
                <w:szCs w:val="22"/>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w:t>
            </w:r>
            <w:r>
              <w:rPr>
                <w:rFonts w:hint="default" w:ascii="宋体" w:hAnsi="宋体" w:eastAsia="宋体" w:cs="宋体"/>
                <w:kern w:val="0"/>
                <w:sz w:val="22"/>
                <w:szCs w:val="22"/>
                <w:lang w:val="en-US" w:eastAsia="zh-CN" w:bidi="ar"/>
              </w:rPr>
              <w:t>在商品标题、描述、图片中出现品牌注册商标或相似标识。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产品宣传语</w:t>
            </w:r>
          </w:p>
        </w:tc>
        <w:tc>
          <w:tcPr>
            <w:tcW w:w="3431" w:type="dxa"/>
            <w:vAlign w:val="center"/>
          </w:tcPr>
          <w:p>
            <w:pPr>
              <w:keepNext w:val="0"/>
              <w:keepLines w:val="0"/>
              <w:pageBreakBefore w:val="0"/>
              <w:widowControl/>
              <w:suppressLineNumbers w:val="0"/>
              <w:kinsoku/>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销售</w:t>
            </w:r>
            <w:r>
              <w:rPr>
                <w:rFonts w:hint="default" w:ascii="宋体" w:hAnsi="宋体" w:eastAsia="宋体" w:cs="宋体"/>
                <w:kern w:val="0"/>
                <w:sz w:val="22"/>
                <w:szCs w:val="22"/>
                <w:lang w:val="en-US" w:eastAsia="zh-CN" w:bidi="ar"/>
              </w:rPr>
              <w:t>互补性商品</w:t>
            </w:r>
            <w:r>
              <w:rPr>
                <w:rFonts w:hint="eastAsia" w:ascii="宋体" w:hAnsi="宋体" w:eastAsia="宋体" w:cs="宋体"/>
                <w:kern w:val="0"/>
                <w:sz w:val="22"/>
                <w:szCs w:val="22"/>
                <w:lang w:val="en-US" w:eastAsia="zh-CN" w:bidi="ar"/>
              </w:rPr>
              <w:t>应</w:t>
            </w:r>
            <w:r>
              <w:rPr>
                <w:rFonts w:hint="default" w:ascii="宋体" w:hAnsi="宋体" w:eastAsia="宋体" w:cs="宋体"/>
                <w:kern w:val="0"/>
                <w:sz w:val="22"/>
                <w:szCs w:val="22"/>
                <w:lang w:val="en-US" w:eastAsia="zh-CN" w:bidi="ar"/>
              </w:rPr>
              <w:t>使用</w:t>
            </w:r>
            <w:r>
              <w:rPr>
                <w:rFonts w:hint="eastAsia" w:ascii="宋体" w:hAnsi="宋体" w:eastAsia="宋体" w:cs="宋体"/>
                <w:kern w:val="0"/>
                <w:sz w:val="22"/>
                <w:szCs w:val="22"/>
                <w:lang w:val="en-US" w:eastAsia="zh-CN" w:bidi="ar"/>
              </w:rPr>
              <w:t>描述性语言，而非商标性语言，如</w:t>
            </w:r>
            <w:r>
              <w:rPr>
                <w:rFonts w:hint="default" w:ascii="宋体" w:hAnsi="宋体" w:eastAsia="宋体" w:cs="宋体"/>
                <w:kern w:val="0"/>
                <w:sz w:val="22"/>
                <w:szCs w:val="22"/>
                <w:lang w:val="en-US" w:eastAsia="zh-CN" w:bidi="ar"/>
              </w:rPr>
              <w:t>适用于Birkenstock鞋款的护理膏</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使用</w:t>
            </w:r>
            <w:r>
              <w:rPr>
                <w:rFonts w:hint="default" w:ascii="宋体" w:hAnsi="宋体" w:eastAsia="宋体" w:cs="宋体"/>
                <w:kern w:val="0"/>
                <w:sz w:val="22"/>
                <w:szCs w:val="22"/>
                <w:lang w:val="en-US" w:eastAsia="zh-CN" w:bidi="ar"/>
              </w:rPr>
              <w:t>“Birkenstock官方指定护理膏”</w:t>
            </w:r>
            <w:r>
              <w:rPr>
                <w:rFonts w:hint="eastAsia" w:ascii="宋体" w:hAnsi="宋体" w:eastAsia="宋体" w:cs="宋体"/>
                <w:kern w:val="0"/>
                <w:sz w:val="22"/>
                <w:szCs w:val="22"/>
                <w:lang w:val="en-US" w:eastAsia="zh-CN" w:bidi="ar"/>
              </w:rPr>
              <w:t>，</w:t>
            </w:r>
            <w:r>
              <w:rPr>
                <w:rFonts w:hint="default" w:ascii="宋体" w:hAnsi="宋体" w:eastAsia="宋体" w:cs="宋体"/>
                <w:kern w:val="0"/>
                <w:sz w:val="22"/>
                <w:szCs w:val="22"/>
                <w:lang w:val="en-US" w:eastAsia="zh-CN" w:bidi="ar"/>
              </w:rPr>
              <w:t> “Birkenstock Arizona专用鞋带”或“Birkenstock原装鞋带”</w:t>
            </w:r>
            <w:r>
              <w:rPr>
                <w:rFonts w:hint="eastAsia" w:ascii="宋体" w:hAnsi="宋体" w:eastAsia="宋体" w:cs="宋体"/>
                <w:kern w:val="0"/>
                <w:sz w:val="22"/>
                <w:szCs w:val="22"/>
                <w:lang w:val="en-US" w:eastAsia="zh-CN" w:bidi="ar"/>
              </w:rPr>
              <w:t>等混淆描述用语。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Logo使用</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使用自有品牌Logo</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将Birkenstock的Logo作为自己店铺的Logo或头像。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暗示关系</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明确说明是“授权零售商”</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使用“官方”、“总代理”等模糊词汇</w:t>
            </w:r>
            <w:r>
              <w:rPr>
                <w:rFonts w:hint="eastAsia" w:ascii="宋体" w:hAnsi="宋体" w:eastAsia="宋体" w:cs="宋体"/>
                <w:kern w:val="0"/>
                <w:sz w:val="22"/>
                <w:szCs w:val="22"/>
                <w:lang w:val="en-US" w:eastAsia="zh-CN" w:bidi="ar"/>
              </w:rPr>
              <w:t>，或其他存在</w:t>
            </w:r>
            <w:r>
              <w:rPr>
                <w:rFonts w:hint="default" w:ascii="宋体" w:hAnsi="宋体" w:eastAsia="宋体" w:cs="宋体"/>
                <w:kern w:val="0"/>
                <w:sz w:val="22"/>
                <w:szCs w:val="22"/>
                <w:lang w:val="en-US" w:eastAsia="zh-CN" w:bidi="ar"/>
              </w:rPr>
              <w:t>暗示与品牌有</w:t>
            </w:r>
            <w:r>
              <w:rPr>
                <w:rFonts w:hint="eastAsia" w:ascii="宋体" w:hAnsi="宋体" w:eastAsia="宋体" w:cs="宋体"/>
                <w:kern w:val="0"/>
                <w:sz w:val="22"/>
                <w:szCs w:val="22"/>
                <w:lang w:val="en-US" w:eastAsia="zh-CN" w:bidi="ar"/>
              </w:rPr>
              <w:t>关联</w:t>
            </w:r>
            <w:r>
              <w:rPr>
                <w:rFonts w:hint="default" w:ascii="宋体" w:hAnsi="宋体" w:eastAsia="宋体" w:cs="宋体"/>
                <w:kern w:val="0"/>
                <w:sz w:val="22"/>
                <w:szCs w:val="22"/>
                <w:lang w:val="en-US" w:eastAsia="zh-CN" w:bidi="ar"/>
              </w:rPr>
              <w:t>的营销话术。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4"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both"/>
              <w:textAlignment w:val="auto"/>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产品图片</w:t>
            </w:r>
          </w:p>
        </w:tc>
        <w:tc>
          <w:tcPr>
            <w:tcW w:w="3431"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使用官方授权图或自行拍摄的实物图</w:t>
            </w:r>
          </w:p>
        </w:tc>
        <w:tc>
          <w:tcPr>
            <w:tcW w:w="313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20" w:lineRule="exact"/>
              <w:jc w:val="both"/>
              <w:textAlignment w:val="auto"/>
              <w:rPr>
                <w:rFonts w:hint="default" w:ascii="宋体" w:hAnsi="宋体" w:eastAsia="宋体" w:cs="宋体"/>
                <w:kern w:val="0"/>
                <w:sz w:val="22"/>
                <w:szCs w:val="22"/>
                <w:lang w:val="en-US" w:eastAsia="zh-CN" w:bidi="ar"/>
              </w:rPr>
            </w:pPr>
            <w:r>
              <w:rPr>
                <w:rFonts w:hint="default" w:ascii="宋体" w:hAnsi="宋体" w:eastAsia="宋体" w:cs="宋体"/>
                <w:kern w:val="0"/>
                <w:sz w:val="22"/>
                <w:szCs w:val="22"/>
                <w:lang w:val="en-US" w:eastAsia="zh-CN" w:bidi="ar"/>
              </w:rPr>
              <w:t>使用经过PS修改、歪曲产品形象的图片</w:t>
            </w:r>
          </w:p>
        </w:tc>
      </w:tr>
    </w:tbl>
    <w:p>
      <w:pPr>
        <w:keepNext w:val="0"/>
        <w:keepLines w:val="0"/>
        <w:pageBreakBefore w:val="0"/>
        <w:widowControl/>
        <w:suppressLineNumbers w:val="0"/>
        <w:kinsoku/>
        <w:wordWrap w:val="0"/>
        <w:overflowPunct/>
        <w:topLinePunct w:val="0"/>
        <w:autoSpaceDE/>
        <w:autoSpaceDN/>
        <w:bidi w:val="0"/>
        <w:adjustRightInd/>
        <w:snapToGrid/>
        <w:ind w:firstLine="2640" w:firstLineChars="1100"/>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图5 潜在侵权</w:t>
      </w:r>
      <w:r>
        <w:rPr>
          <w:rFonts w:hint="default" w:ascii="宋体" w:hAnsi="宋体" w:eastAsia="宋体" w:cs="宋体"/>
          <w:kern w:val="0"/>
          <w:sz w:val="24"/>
          <w:szCs w:val="24"/>
          <w:lang w:val="en-US" w:eastAsia="zh-CN" w:bidi="ar"/>
        </w:rPr>
        <w:t>风险清单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省内企业在遭遇海外知识产权纠纷及诉讼时，可向广东省知识产权保护中心（</w:t>
      </w:r>
      <w:r>
        <w:rPr>
          <w:rFonts w:hint="default" w:ascii="仿宋_GB2312" w:hAnsi="仿宋_GB2312" w:eastAsia="仿宋_GB2312" w:cs="仿宋_GB2312"/>
          <w:b w:val="0"/>
          <w:bCs w:val="0"/>
          <w:sz w:val="32"/>
          <w:szCs w:val="32"/>
          <w:lang w:val="en-US" w:eastAsia="zh-CN"/>
        </w:rPr>
        <w:t>海外知识产权纠纷应对指导</w:t>
      </w:r>
      <w:r>
        <w:rPr>
          <w:rFonts w:hint="eastAsia" w:ascii="仿宋_GB2312" w:hAnsi="仿宋_GB2312" w:eastAsia="仿宋_GB2312" w:cs="仿宋_GB2312"/>
          <w:b w:val="0"/>
          <w:bCs w:val="0"/>
          <w:sz w:val="32"/>
          <w:szCs w:val="32"/>
          <w:lang w:val="en-US" w:eastAsia="zh-CN"/>
        </w:rPr>
        <w:t>广东</w:t>
      </w:r>
      <w:r>
        <w:rPr>
          <w:rFonts w:hint="default" w:ascii="仿宋_GB2312" w:hAnsi="仿宋_GB2312" w:eastAsia="仿宋_GB2312" w:cs="仿宋_GB2312"/>
          <w:b w:val="0"/>
          <w:bCs w:val="0"/>
          <w:sz w:val="32"/>
          <w:szCs w:val="32"/>
          <w:lang w:val="en-US" w:eastAsia="zh-CN"/>
        </w:rPr>
        <w:t>分中心</w:t>
      </w:r>
      <w:r>
        <w:rPr>
          <w:rFonts w:hint="eastAsia" w:ascii="仿宋_GB2312" w:hAnsi="仿宋_GB2312" w:eastAsia="仿宋_GB2312" w:cs="仿宋_GB2312"/>
          <w:b w:val="0"/>
          <w:bCs w:val="0"/>
          <w:sz w:val="32"/>
          <w:szCs w:val="32"/>
          <w:lang w:val="en-US" w:eastAsia="zh-CN"/>
        </w:rPr>
        <w:t>）提交维权援助申请，通过广东省知识产权维权援助公共服务平台https://gdwq.gpic.gd.cn/在线提交海外保护申请，广东中心将联合专家力量为企业提供纠纷应对指导。</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099050" cy="2505710"/>
            <wp:effectExtent l="0" t="0" r="6350" b="889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18"/>
                    <a:stretch>
                      <a:fillRect/>
                    </a:stretch>
                  </pic:blipFill>
                  <pic:spPr>
                    <a:xfrm>
                      <a:off x="0" y="0"/>
                      <a:ext cx="5099050" cy="2505710"/>
                    </a:xfrm>
                    <a:prstGeom prst="rect">
                      <a:avLst/>
                    </a:prstGeom>
                    <a:noFill/>
                    <a:ln w="9525">
                      <a:noFill/>
                    </a:ln>
                  </pic:spPr>
                </pic:pic>
              </a:graphicData>
            </a:graphic>
          </wp:inline>
        </w:drawing>
      </w:r>
    </w:p>
    <w:p>
      <w:pPr>
        <w:keepNext w:val="0"/>
        <w:keepLines w:val="0"/>
        <w:pageBreakBefore w:val="0"/>
        <w:widowControl/>
        <w:suppressLineNumbers w:val="0"/>
        <w:kinsoku/>
        <w:wordWrap w:val="0"/>
        <w:overflowPunct/>
        <w:topLinePunct w:val="0"/>
        <w:autoSpaceDE/>
        <w:autoSpaceDN/>
        <w:bidi w:val="0"/>
        <w:adjustRightInd/>
        <w:snapToGrid/>
        <w:ind w:firstLine="2640" w:firstLineChars="1100"/>
        <w:jc w:val="both"/>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图6 广东省知识产权维权援助公共服务平台</w:t>
      </w:r>
    </w:p>
    <w:p>
      <w:pPr>
        <w:keepNext w:val="0"/>
        <w:keepLines w:val="0"/>
        <w:pageBreakBefore w:val="0"/>
        <w:kinsoku/>
        <w:wordWrap w:val="0"/>
        <w:overflowPunct/>
        <w:topLinePunct w:val="0"/>
        <w:autoSpaceDE/>
        <w:autoSpaceDN/>
        <w:bidi w:val="0"/>
        <w:adjustRightInd/>
        <w:snapToGrid/>
        <w:spacing w:afterAutospacing="0" w:line="520" w:lineRule="exact"/>
        <w:jc w:val="both"/>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626E4"/>
    <w:multiLevelType w:val="singleLevel"/>
    <w:tmpl w:val="9EF626E4"/>
    <w:lvl w:ilvl="0" w:tentative="0">
      <w:start w:val="1"/>
      <w:numFmt w:val="chineseCounting"/>
      <w:suff w:val="nothing"/>
      <w:lvlText w:val="%1、"/>
      <w:lvlJc w:val="left"/>
      <w:rPr>
        <w:rFonts w:hint="eastAsia"/>
      </w:rPr>
    </w:lvl>
  </w:abstractNum>
  <w:abstractNum w:abstractNumId="1">
    <w:nsid w:val="763FF18F"/>
    <w:multiLevelType w:val="singleLevel"/>
    <w:tmpl w:val="763FF18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DFC7190"/>
    <w:rsid w:val="1FA7534A"/>
    <w:rsid w:val="21EFCCA2"/>
    <w:rsid w:val="27F89B2C"/>
    <w:rsid w:val="2F77B3C1"/>
    <w:rsid w:val="36EE246B"/>
    <w:rsid w:val="37CFFB77"/>
    <w:rsid w:val="37FF58A1"/>
    <w:rsid w:val="3977015F"/>
    <w:rsid w:val="39EFD96D"/>
    <w:rsid w:val="39F78E18"/>
    <w:rsid w:val="3B3670C5"/>
    <w:rsid w:val="3CC9F97D"/>
    <w:rsid w:val="3CFD969F"/>
    <w:rsid w:val="3E95E499"/>
    <w:rsid w:val="3EF79B18"/>
    <w:rsid w:val="3F5E1C62"/>
    <w:rsid w:val="3F7F8061"/>
    <w:rsid w:val="3FBF3BB3"/>
    <w:rsid w:val="3FFFBFF2"/>
    <w:rsid w:val="457D665C"/>
    <w:rsid w:val="47F53328"/>
    <w:rsid w:val="4A1947CF"/>
    <w:rsid w:val="4BBF6A41"/>
    <w:rsid w:val="4EF2AFC0"/>
    <w:rsid w:val="51BEAD2D"/>
    <w:rsid w:val="56BE14D9"/>
    <w:rsid w:val="59D64C2B"/>
    <w:rsid w:val="5D37375E"/>
    <w:rsid w:val="5D7BA0F1"/>
    <w:rsid w:val="5E7F377C"/>
    <w:rsid w:val="5E7F842A"/>
    <w:rsid w:val="5EDE4AE1"/>
    <w:rsid w:val="5F2EFA61"/>
    <w:rsid w:val="5FBE817F"/>
    <w:rsid w:val="5FFAF3ED"/>
    <w:rsid w:val="61F7906E"/>
    <w:rsid w:val="657F6163"/>
    <w:rsid w:val="658B633E"/>
    <w:rsid w:val="668D5533"/>
    <w:rsid w:val="671E8FD5"/>
    <w:rsid w:val="673CC34E"/>
    <w:rsid w:val="6B7ADC7A"/>
    <w:rsid w:val="6BEAB571"/>
    <w:rsid w:val="6C1FAFE5"/>
    <w:rsid w:val="6DB738AD"/>
    <w:rsid w:val="6FBCFB8F"/>
    <w:rsid w:val="6FF3AD1E"/>
    <w:rsid w:val="736785E4"/>
    <w:rsid w:val="737EA478"/>
    <w:rsid w:val="73FF30D2"/>
    <w:rsid w:val="73FFDF99"/>
    <w:rsid w:val="74E7604C"/>
    <w:rsid w:val="76D9A95E"/>
    <w:rsid w:val="776BB757"/>
    <w:rsid w:val="777D0A9A"/>
    <w:rsid w:val="77A706B1"/>
    <w:rsid w:val="78BDD7F9"/>
    <w:rsid w:val="79DB37C9"/>
    <w:rsid w:val="79F1FFC1"/>
    <w:rsid w:val="79FFAA4B"/>
    <w:rsid w:val="7B7765B9"/>
    <w:rsid w:val="7B9F9C70"/>
    <w:rsid w:val="7BBACB58"/>
    <w:rsid w:val="7BD7BA2F"/>
    <w:rsid w:val="7CFF876E"/>
    <w:rsid w:val="7DAA168D"/>
    <w:rsid w:val="7DB9CBD9"/>
    <w:rsid w:val="7DBEFEDC"/>
    <w:rsid w:val="7DFBF7AF"/>
    <w:rsid w:val="7E7E3BCA"/>
    <w:rsid w:val="7E9F545C"/>
    <w:rsid w:val="7EF7769B"/>
    <w:rsid w:val="7EFE2F08"/>
    <w:rsid w:val="7F631999"/>
    <w:rsid w:val="7F85015D"/>
    <w:rsid w:val="7F8F4D2E"/>
    <w:rsid w:val="7F90D105"/>
    <w:rsid w:val="7FDB6D6E"/>
    <w:rsid w:val="7FDDFA5B"/>
    <w:rsid w:val="7FFF71DB"/>
    <w:rsid w:val="87F7BA5A"/>
    <w:rsid w:val="917E7A5C"/>
    <w:rsid w:val="97EE10F3"/>
    <w:rsid w:val="99F325D6"/>
    <w:rsid w:val="9CFB9789"/>
    <w:rsid w:val="9DFF50E0"/>
    <w:rsid w:val="9EDD7FA2"/>
    <w:rsid w:val="A4BE327B"/>
    <w:rsid w:val="A7B41C62"/>
    <w:rsid w:val="AE5FA817"/>
    <w:rsid w:val="AF7D40F5"/>
    <w:rsid w:val="AF9B0763"/>
    <w:rsid w:val="AFE1D820"/>
    <w:rsid w:val="B37D8624"/>
    <w:rsid w:val="B6EE0550"/>
    <w:rsid w:val="B9F9E6EE"/>
    <w:rsid w:val="BBAFB220"/>
    <w:rsid w:val="BBBFF434"/>
    <w:rsid w:val="BCF7938C"/>
    <w:rsid w:val="BD4C0C1E"/>
    <w:rsid w:val="BDFF3BDB"/>
    <w:rsid w:val="BEBFDD0F"/>
    <w:rsid w:val="BF4E6593"/>
    <w:rsid w:val="BFA73F36"/>
    <w:rsid w:val="BFBECC3B"/>
    <w:rsid w:val="BFBFF048"/>
    <w:rsid w:val="BFDE6CAD"/>
    <w:rsid w:val="BFF61B2C"/>
    <w:rsid w:val="BFF72B25"/>
    <w:rsid w:val="BFF7F445"/>
    <w:rsid w:val="BFFF7DF6"/>
    <w:rsid w:val="C1ECBE63"/>
    <w:rsid w:val="C2F31401"/>
    <w:rsid w:val="C777C57B"/>
    <w:rsid w:val="CB6F7ED0"/>
    <w:rsid w:val="CC6D9230"/>
    <w:rsid w:val="D55B35DA"/>
    <w:rsid w:val="D7B9529E"/>
    <w:rsid w:val="D7F38AF6"/>
    <w:rsid w:val="D7FBFA26"/>
    <w:rsid w:val="D99644E6"/>
    <w:rsid w:val="D9E64BAB"/>
    <w:rsid w:val="DB8F79A7"/>
    <w:rsid w:val="DBBD34C3"/>
    <w:rsid w:val="DCE720BA"/>
    <w:rsid w:val="DD5ECEBF"/>
    <w:rsid w:val="DDDE1FD2"/>
    <w:rsid w:val="DF5C1B66"/>
    <w:rsid w:val="DF776592"/>
    <w:rsid w:val="DFA7577B"/>
    <w:rsid w:val="DFB947BF"/>
    <w:rsid w:val="DFBB72BD"/>
    <w:rsid w:val="DFDB1285"/>
    <w:rsid w:val="DFDF0C76"/>
    <w:rsid w:val="DFE8FAE9"/>
    <w:rsid w:val="DFFFBEB3"/>
    <w:rsid w:val="E2BFBFBA"/>
    <w:rsid w:val="E2F6F4A9"/>
    <w:rsid w:val="E38A6C0C"/>
    <w:rsid w:val="E7DDE660"/>
    <w:rsid w:val="E7E2263D"/>
    <w:rsid w:val="E7FF2E1D"/>
    <w:rsid w:val="E9F5F102"/>
    <w:rsid w:val="EA95434C"/>
    <w:rsid w:val="EDA7EA69"/>
    <w:rsid w:val="EED84F09"/>
    <w:rsid w:val="EF75782D"/>
    <w:rsid w:val="EF9F2D7A"/>
    <w:rsid w:val="EFCE5B64"/>
    <w:rsid w:val="EFDD9683"/>
    <w:rsid w:val="EFEF2810"/>
    <w:rsid w:val="EFF77C16"/>
    <w:rsid w:val="F1FEACC8"/>
    <w:rsid w:val="F3F3138B"/>
    <w:rsid w:val="F4FDBF2F"/>
    <w:rsid w:val="F4FF01E5"/>
    <w:rsid w:val="F516961D"/>
    <w:rsid w:val="F5CDBFCE"/>
    <w:rsid w:val="F5F44475"/>
    <w:rsid w:val="F66E2CCE"/>
    <w:rsid w:val="F6BB0108"/>
    <w:rsid w:val="F6E71702"/>
    <w:rsid w:val="F6EE22C9"/>
    <w:rsid w:val="F7ED4ED4"/>
    <w:rsid w:val="F7FFEEEB"/>
    <w:rsid w:val="FA5F1089"/>
    <w:rsid w:val="FABB880F"/>
    <w:rsid w:val="FACFD0F9"/>
    <w:rsid w:val="FAE9CB2F"/>
    <w:rsid w:val="FB971AE1"/>
    <w:rsid w:val="FBDD9280"/>
    <w:rsid w:val="FBDEB4E3"/>
    <w:rsid w:val="FBF7097D"/>
    <w:rsid w:val="FBFF1ED7"/>
    <w:rsid w:val="FC97B071"/>
    <w:rsid w:val="FCB350D5"/>
    <w:rsid w:val="FCBCAA52"/>
    <w:rsid w:val="FDEF97DA"/>
    <w:rsid w:val="FDFB7DB6"/>
    <w:rsid w:val="FEEE3A25"/>
    <w:rsid w:val="FEF77190"/>
    <w:rsid w:val="FF17BC2A"/>
    <w:rsid w:val="FF4D17E3"/>
    <w:rsid w:val="FF7B6DA1"/>
    <w:rsid w:val="FF7F70EE"/>
    <w:rsid w:val="FF9FA851"/>
    <w:rsid w:val="FFAFF4CC"/>
    <w:rsid w:val="FFB679C9"/>
    <w:rsid w:val="FFBF6D8C"/>
    <w:rsid w:val="FFDB8C29"/>
    <w:rsid w:val="FFDE8C38"/>
    <w:rsid w:val="FFDFC83A"/>
    <w:rsid w:val="FFF6E915"/>
    <w:rsid w:val="FFFA31A6"/>
    <w:rsid w:val="FFFA64D4"/>
    <w:rsid w:val="FFFB75DA"/>
    <w:rsid w:val="FFFF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HTML Code"/>
    <w:basedOn w:val="9"/>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3103</Words>
  <Characters>4793</Characters>
  <Lines>0</Lines>
  <Paragraphs>0</Paragraphs>
  <TotalTime>4</TotalTime>
  <ScaleCrop>false</ScaleCrop>
  <LinksUpToDate>false</LinksUpToDate>
  <CharactersWithSpaces>4865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HUAWEI</cp:lastModifiedBy>
  <dcterms:modified xsi:type="dcterms:W3CDTF">2025-09-02T15:10:43Z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448E6F9F58B5D32E18DEA668198978AC</vt:lpwstr>
  </property>
</Properties>
</file>